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3" w:type="dxa"/>
        <w:jc w:val="center"/>
        <w:tblLook w:val="01E0" w:firstRow="1" w:lastRow="1" w:firstColumn="1" w:lastColumn="1" w:noHBand="0" w:noVBand="0"/>
      </w:tblPr>
      <w:tblGrid>
        <w:gridCol w:w="4315"/>
        <w:gridCol w:w="5528"/>
      </w:tblGrid>
      <w:tr w:rsidR="002C572F" w:rsidRPr="002C572F" w:rsidTr="005A4E8C">
        <w:trPr>
          <w:trHeight w:val="1438"/>
          <w:jc w:val="center"/>
        </w:trPr>
        <w:tc>
          <w:tcPr>
            <w:tcW w:w="4315" w:type="dxa"/>
          </w:tcPr>
          <w:p w:rsidR="00AC242F" w:rsidRPr="002C572F" w:rsidRDefault="00AC242F" w:rsidP="005A4E8C">
            <w:pPr>
              <w:jc w:val="center"/>
              <w:rPr>
                <w:b/>
                <w:sz w:val="26"/>
                <w:szCs w:val="26"/>
              </w:rPr>
            </w:pPr>
            <w:r w:rsidRPr="002C572F">
              <w:rPr>
                <w:sz w:val="26"/>
                <w:szCs w:val="26"/>
              </w:rPr>
              <w:t>QUỐC HỘI KHÓA XV</w:t>
            </w:r>
          </w:p>
          <w:p w:rsidR="00AC242F" w:rsidRPr="002C572F" w:rsidRDefault="00AC242F" w:rsidP="005A4E8C">
            <w:pPr>
              <w:jc w:val="center"/>
              <w:rPr>
                <w:b/>
              </w:rPr>
            </w:pPr>
            <w:r w:rsidRPr="002C572F">
              <w:rPr>
                <w:b/>
              </w:rPr>
              <w:t>ỦY BAN TÀI CHÍNH, NGÂN SÁCH</w:t>
            </w:r>
          </w:p>
          <w:p w:rsidR="00AC242F" w:rsidRPr="002C572F" w:rsidRDefault="00AC242F" w:rsidP="005A4E8C">
            <w:r w:rsidRPr="002C572F">
              <w:rPr>
                <w:noProof/>
              </w:rPr>
              <mc:AlternateContent>
                <mc:Choice Requires="wps">
                  <w:drawing>
                    <wp:anchor distT="4294967281" distB="4294967281" distL="114300" distR="114300" simplePos="0" relativeHeight="251660288" behindDoc="0" locked="0" layoutInCell="1" allowOverlap="1">
                      <wp:simplePos x="0" y="0"/>
                      <wp:positionH relativeFrom="column">
                        <wp:align>center</wp:align>
                      </wp:positionH>
                      <wp:positionV relativeFrom="paragraph">
                        <wp:posOffset>100329</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40A4D7" id="Straight Connector 6" o:spid="_x0000_s1026" style="position:absolute;z-index:251660288;visibility:visible;mso-wrap-style:square;mso-width-percent:0;mso-height-percent:0;mso-wrap-distance-left:9pt;mso-wrap-distance-top:-42e-5mm;mso-wrap-distance-right:9pt;mso-wrap-distance-bottom:-42e-5mm;mso-position-horizontal:center;mso-position-horizontal-relative:text;mso-position-vertical:absolute;mso-position-vertical-relative:text;mso-width-percent:0;mso-height-percent:0;mso-width-relative:page;mso-height-relative:page" from="0,7.9pt" to="5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"/>
                  </w:pict>
                </mc:Fallback>
              </mc:AlternateContent>
            </w:r>
          </w:p>
          <w:p w:rsidR="00AC242F" w:rsidRPr="002C572F" w:rsidRDefault="00AC242F" w:rsidP="00437D69">
            <w:pPr>
              <w:jc w:val="center"/>
              <w:rPr>
                <w:b/>
              </w:rPr>
            </w:pPr>
            <w:r w:rsidRPr="002C572F">
              <w:rPr>
                <w:sz w:val="26"/>
                <w:szCs w:val="28"/>
              </w:rPr>
              <w:t xml:space="preserve">Số: </w:t>
            </w:r>
            <w:r w:rsidR="00437D69" w:rsidRPr="002C572F">
              <w:rPr>
                <w:sz w:val="26"/>
                <w:szCs w:val="28"/>
              </w:rPr>
              <w:t>2489</w:t>
            </w:r>
            <w:r w:rsidRPr="002C572F">
              <w:rPr>
                <w:sz w:val="26"/>
                <w:szCs w:val="28"/>
              </w:rPr>
              <w:t>/BC-UBTCNS15</w:t>
            </w:r>
          </w:p>
        </w:tc>
        <w:tc>
          <w:tcPr>
            <w:tcW w:w="5528" w:type="dxa"/>
          </w:tcPr>
          <w:p w:rsidR="00AC242F" w:rsidRPr="002C572F" w:rsidRDefault="00AC242F" w:rsidP="005A4E8C">
            <w:pPr>
              <w:jc w:val="center"/>
              <w:rPr>
                <w:b/>
              </w:rPr>
            </w:pPr>
            <w:r w:rsidRPr="002C572F">
              <w:rPr>
                <w:b/>
              </w:rPr>
              <w:t>CỘNG HOÀ XÃ HỘI CHỦ NGHĨA VIỆT NAM</w:t>
            </w:r>
          </w:p>
          <w:p w:rsidR="00AC242F" w:rsidRPr="002C572F" w:rsidRDefault="00AC242F" w:rsidP="005A4E8C">
            <w:pPr>
              <w:tabs>
                <w:tab w:val="left" w:pos="885"/>
                <w:tab w:val="center" w:pos="2587"/>
              </w:tabs>
              <w:rPr>
                <w:b/>
              </w:rPr>
            </w:pPr>
            <w:r w:rsidRPr="002C572F">
              <w:rPr>
                <w:b/>
              </w:rPr>
              <w:tab/>
            </w:r>
            <w:r w:rsidRPr="002C572F">
              <w:rPr>
                <w:b/>
              </w:rPr>
              <w:tab/>
              <w:t>Độc lập - Tự do - Hạnh phúc</w:t>
            </w:r>
          </w:p>
          <w:p w:rsidR="00AC242F" w:rsidRPr="002C572F" w:rsidRDefault="00AC242F" w:rsidP="005A4E8C">
            <w:pPr>
              <w:jc w:val="center"/>
              <w:rPr>
                <w:i/>
                <w:sz w:val="28"/>
                <w:szCs w:val="28"/>
              </w:rPr>
            </w:pPr>
            <w:r w:rsidRPr="002C572F">
              <w:rPr>
                <w:noProof/>
              </w:rPr>
              <mc:AlternateContent>
                <mc:Choice Requires="wps">
                  <w:drawing>
                    <wp:anchor distT="4294967281" distB="4294967281" distL="114300" distR="114300" simplePos="0" relativeHeight="251661312" behindDoc="0" locked="0" layoutInCell="1" allowOverlap="1">
                      <wp:simplePos x="0" y="0"/>
                      <wp:positionH relativeFrom="column">
                        <wp:posOffset>715010</wp:posOffset>
                      </wp:positionH>
                      <wp:positionV relativeFrom="paragraph">
                        <wp:posOffset>95249</wp:posOffset>
                      </wp:positionV>
                      <wp:extent cx="18662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C73B11" id="Straight Connector 5" o:spid="_x0000_s1026" style="position:absolute;z-index:25166131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56.3pt,7.5pt" to="20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"/>
                  </w:pict>
                </mc:Fallback>
              </mc:AlternateContent>
            </w:r>
            <w:r w:rsidRPr="002C572F">
              <w:rPr>
                <w:i/>
                <w:sz w:val="28"/>
                <w:szCs w:val="28"/>
              </w:rPr>
              <w:t xml:space="preserve">          </w:t>
            </w:r>
          </w:p>
          <w:p w:rsidR="00AC242F" w:rsidRPr="002C572F" w:rsidRDefault="00AC242F" w:rsidP="005A4E8C">
            <w:pPr>
              <w:jc w:val="center"/>
              <w:rPr>
                <w:i/>
                <w:sz w:val="28"/>
                <w:szCs w:val="28"/>
              </w:rPr>
            </w:pPr>
            <w:r w:rsidRPr="002C572F">
              <w:rPr>
                <w:i/>
                <w:sz w:val="28"/>
                <w:szCs w:val="28"/>
              </w:rPr>
              <w:t>Hà Nội, ngày</w:t>
            </w:r>
            <w:r w:rsidR="00BD0BE0" w:rsidRPr="002C572F">
              <w:rPr>
                <w:i/>
                <w:sz w:val="28"/>
                <w:szCs w:val="28"/>
              </w:rPr>
              <w:t xml:space="preserve"> </w:t>
            </w:r>
            <w:r w:rsidR="00BF6849" w:rsidRPr="002C572F">
              <w:rPr>
                <w:i/>
                <w:sz w:val="28"/>
                <w:szCs w:val="28"/>
              </w:rPr>
              <w:t>07</w:t>
            </w:r>
            <w:r w:rsidR="00BD0BE0" w:rsidRPr="002C572F">
              <w:rPr>
                <w:i/>
                <w:sz w:val="28"/>
                <w:szCs w:val="28"/>
              </w:rPr>
              <w:t xml:space="preserve"> </w:t>
            </w:r>
            <w:r w:rsidRPr="002C572F">
              <w:rPr>
                <w:i/>
                <w:sz w:val="28"/>
                <w:szCs w:val="28"/>
              </w:rPr>
              <w:t xml:space="preserve">tháng </w:t>
            </w:r>
            <w:r w:rsidR="00BD0BE0" w:rsidRPr="002C572F">
              <w:rPr>
                <w:i/>
                <w:sz w:val="28"/>
                <w:szCs w:val="28"/>
              </w:rPr>
              <w:t>10</w:t>
            </w:r>
            <w:r w:rsidRPr="002C572F">
              <w:rPr>
                <w:i/>
                <w:sz w:val="28"/>
                <w:szCs w:val="28"/>
              </w:rPr>
              <w:t xml:space="preserve"> năm 20</w:t>
            </w:r>
            <w:r w:rsidR="00BD0BE0" w:rsidRPr="002C572F">
              <w:rPr>
                <w:i/>
                <w:sz w:val="28"/>
                <w:szCs w:val="28"/>
              </w:rPr>
              <w:t>24</w:t>
            </w:r>
          </w:p>
          <w:p w:rsidR="00AC242F" w:rsidRPr="002C572F" w:rsidRDefault="00AC242F" w:rsidP="005A4E8C">
            <w:pPr>
              <w:jc w:val="center"/>
              <w:rPr>
                <w:b/>
                <w:sz w:val="40"/>
              </w:rPr>
            </w:pPr>
          </w:p>
        </w:tc>
      </w:tr>
    </w:tbl>
    <w:p w:rsidR="00AC242F" w:rsidRPr="002C572F" w:rsidRDefault="00AC242F" w:rsidP="00AC242F">
      <w:pPr>
        <w:pStyle w:val="BodyText"/>
        <w:spacing w:before="120" w:line="360" w:lineRule="exact"/>
        <w:jc w:val="center"/>
        <w:rPr>
          <w:rFonts w:ascii="Times New Roman" w:hAnsi="Times New Roman"/>
          <w:b/>
          <w:sz w:val="28"/>
          <w:szCs w:val="28"/>
        </w:rPr>
      </w:pPr>
      <w:r w:rsidRPr="002C572F">
        <w:rPr>
          <w:rFonts w:ascii="Times New Roman" w:hAnsi="Times New Roman"/>
          <w:b/>
          <w:sz w:val="28"/>
          <w:szCs w:val="28"/>
        </w:rPr>
        <w:t>BÁO CÁO</w:t>
      </w:r>
    </w:p>
    <w:p w:rsidR="004256B9" w:rsidRPr="002C572F" w:rsidRDefault="00AC242F" w:rsidP="004256B9">
      <w:pPr>
        <w:jc w:val="center"/>
        <w:rPr>
          <w:b/>
          <w:spacing w:val="-4"/>
          <w:sz w:val="28"/>
          <w:szCs w:val="28"/>
        </w:rPr>
      </w:pPr>
      <w:r w:rsidRPr="002C572F">
        <w:rPr>
          <w:b/>
          <w:spacing w:val="-4"/>
          <w:sz w:val="28"/>
          <w:szCs w:val="28"/>
        </w:rPr>
        <w:t xml:space="preserve">Thẩm tra về </w:t>
      </w:r>
      <w:r w:rsidR="004256B9" w:rsidRPr="002C572F">
        <w:rPr>
          <w:b/>
          <w:spacing w:val="-4"/>
          <w:sz w:val="28"/>
          <w:szCs w:val="28"/>
        </w:rPr>
        <w:t>tình hình phân bổ, dự kiến điều chỉnh</w:t>
      </w:r>
    </w:p>
    <w:p w:rsidR="00AC242F" w:rsidRPr="002C572F" w:rsidRDefault="004256B9" w:rsidP="004256B9">
      <w:pPr>
        <w:jc w:val="center"/>
        <w:rPr>
          <w:b/>
          <w:spacing w:val="-4"/>
          <w:sz w:val="28"/>
          <w:szCs w:val="28"/>
        </w:rPr>
      </w:pPr>
      <w:r w:rsidRPr="002C572F">
        <w:rPr>
          <w:b/>
          <w:spacing w:val="-4"/>
          <w:sz w:val="28"/>
          <w:szCs w:val="28"/>
        </w:rPr>
        <w:t xml:space="preserve"> kế hoạch đầu tư công nguồn ngân sách trung ương năm 2024</w:t>
      </w:r>
    </w:p>
    <w:p w:rsidR="00AC242F" w:rsidRPr="002C572F" w:rsidRDefault="00152C64" w:rsidP="00AC242F">
      <w:pPr>
        <w:spacing w:before="120" w:after="120"/>
        <w:jc w:val="center"/>
        <w:rPr>
          <w:b/>
          <w:i/>
          <w:sz w:val="26"/>
          <w:szCs w:val="26"/>
        </w:rPr>
      </w:pPr>
      <w:r w:rsidRPr="002C572F">
        <w:rPr>
          <w:b/>
          <w:noProof/>
          <w:spacing w:val="-4"/>
          <w:sz w:val="28"/>
          <w:szCs w:val="28"/>
        </w:rPr>
        <mc:AlternateContent>
          <mc:Choice Requires="wps">
            <w:drawing>
              <wp:anchor distT="4294967283" distB="4294967283" distL="114300" distR="114300" simplePos="0" relativeHeight="251659264" behindDoc="0" locked="0" layoutInCell="1" allowOverlap="1" wp14:anchorId="63D47DD6" wp14:editId="69EC6883">
                <wp:simplePos x="0" y="0"/>
                <wp:positionH relativeFrom="column">
                  <wp:posOffset>2200275</wp:posOffset>
                </wp:positionH>
                <wp:positionV relativeFrom="paragraph">
                  <wp:posOffset>41579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6A4FA5" id="Straight Connector 4"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73.25pt,3.25pt" to="299.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jyAEAAHc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"/>
            </w:pict>
          </mc:Fallback>
        </mc:AlternateContent>
      </w:r>
    </w:p>
    <w:p w:rsidR="00AC242F" w:rsidRPr="002C572F" w:rsidRDefault="00AC242F" w:rsidP="00AC242F">
      <w:pPr>
        <w:spacing w:before="120" w:after="120" w:line="360" w:lineRule="exact"/>
        <w:jc w:val="center"/>
        <w:rPr>
          <w:sz w:val="28"/>
          <w:szCs w:val="28"/>
        </w:rPr>
      </w:pPr>
      <w:r w:rsidRPr="002C572F">
        <w:rPr>
          <w:sz w:val="28"/>
          <w:szCs w:val="28"/>
        </w:rPr>
        <w:t xml:space="preserve">Kính gửi: Ủy ban Thường vụ Quốc hội,    </w:t>
      </w:r>
    </w:p>
    <w:p w:rsidR="00AC242F" w:rsidRPr="002C572F" w:rsidRDefault="00AC242F" w:rsidP="00AC242F">
      <w:pPr>
        <w:spacing w:before="120" w:after="120"/>
        <w:jc w:val="center"/>
        <w:rPr>
          <w:sz w:val="18"/>
          <w:szCs w:val="28"/>
        </w:rPr>
      </w:pPr>
    </w:p>
    <w:p w:rsidR="00AC242F" w:rsidRPr="002C572F" w:rsidRDefault="00AC242F" w:rsidP="00BD0BE0">
      <w:pPr>
        <w:spacing w:before="60" w:after="60" w:line="360" w:lineRule="exact"/>
        <w:ind w:firstLine="567"/>
        <w:jc w:val="both"/>
        <w:rPr>
          <w:rFonts w:eastAsia="Times New Roman"/>
          <w:sz w:val="28"/>
          <w:szCs w:val="28"/>
        </w:rPr>
      </w:pPr>
      <w:r w:rsidRPr="002C572F">
        <w:rPr>
          <w:rFonts w:eastAsia="Times New Roman"/>
          <w:sz w:val="28"/>
          <w:szCs w:val="28"/>
        </w:rPr>
        <w:t xml:space="preserve">Thực hiện nhiệm vụ được giao, Ủy ban Tài chính, Ngân sách (TCNS) thẩm tra Tờ trình số </w:t>
      </w:r>
      <w:r w:rsidR="00BD0BE0" w:rsidRPr="002C572F">
        <w:rPr>
          <w:rFonts w:eastAsia="Times New Roman"/>
          <w:sz w:val="28"/>
          <w:szCs w:val="28"/>
        </w:rPr>
        <w:t>579</w:t>
      </w:r>
      <w:r w:rsidRPr="002C572F">
        <w:rPr>
          <w:rFonts w:eastAsia="Times New Roman"/>
          <w:sz w:val="28"/>
          <w:szCs w:val="28"/>
        </w:rPr>
        <w:t xml:space="preserve">/TTr-CP </w:t>
      </w:r>
      <w:r w:rsidR="00BD0BE0" w:rsidRPr="002C572F">
        <w:rPr>
          <w:rFonts w:eastAsia="Times New Roman"/>
          <w:sz w:val="28"/>
          <w:szCs w:val="28"/>
        </w:rPr>
        <w:t xml:space="preserve">ngày 30/9/2024 </w:t>
      </w:r>
      <w:r w:rsidRPr="002C572F">
        <w:rPr>
          <w:rFonts w:eastAsia="Times New Roman"/>
          <w:sz w:val="28"/>
          <w:szCs w:val="28"/>
        </w:rPr>
        <w:t xml:space="preserve">của Chính phủ về việc </w:t>
      </w:r>
      <w:r w:rsidR="00BD0BE0" w:rsidRPr="002C572F">
        <w:rPr>
          <w:rFonts w:eastAsia="Times New Roman"/>
          <w:sz w:val="28"/>
          <w:szCs w:val="28"/>
        </w:rPr>
        <w:t>tổng hợp tình hình phân bổ, dự kiến điều chỉnh kế hoạch đầu tư công ng</w:t>
      </w:r>
      <w:r w:rsidR="004256B9" w:rsidRPr="002C572F">
        <w:rPr>
          <w:rFonts w:eastAsia="Times New Roman"/>
          <w:sz w:val="28"/>
          <w:szCs w:val="28"/>
        </w:rPr>
        <w:t>u</w:t>
      </w:r>
      <w:r w:rsidR="00BD0BE0" w:rsidRPr="002C572F">
        <w:rPr>
          <w:rFonts w:eastAsia="Times New Roman"/>
          <w:sz w:val="28"/>
          <w:szCs w:val="28"/>
        </w:rPr>
        <w:t xml:space="preserve">ồn ngân sách trung ương </w:t>
      </w:r>
      <w:r w:rsidRPr="002C572F">
        <w:rPr>
          <w:rFonts w:eastAsia="Times New Roman"/>
          <w:sz w:val="28"/>
          <w:szCs w:val="28"/>
        </w:rPr>
        <w:t xml:space="preserve">năm </w:t>
      </w:r>
      <w:r w:rsidR="00BD0BE0" w:rsidRPr="002C572F">
        <w:rPr>
          <w:rFonts w:eastAsia="Times New Roman"/>
          <w:sz w:val="28"/>
          <w:szCs w:val="28"/>
        </w:rPr>
        <w:t>2024</w:t>
      </w:r>
      <w:r w:rsidRPr="002C572F">
        <w:rPr>
          <w:rFonts w:eastAsia="Times New Roman"/>
          <w:sz w:val="28"/>
          <w:szCs w:val="28"/>
        </w:rPr>
        <w:t xml:space="preserve">. Tham dự phiên họp có đại diện một số Ủy ban của Quốc hội, đại diện Lãnh đạo Bộ Kế hoạch và Đầu tư, Bộ Tài chính, Kiểm toán nhà nước và một số cơ quan hữu quan. </w:t>
      </w:r>
    </w:p>
    <w:p w:rsidR="00AC242F" w:rsidRPr="002C572F" w:rsidRDefault="00AC242F" w:rsidP="00BD0BE0">
      <w:pPr>
        <w:spacing w:before="60" w:after="60" w:line="360" w:lineRule="exact"/>
        <w:ind w:firstLine="567"/>
        <w:jc w:val="both"/>
        <w:rPr>
          <w:rFonts w:eastAsia="Times New Roman"/>
          <w:spacing w:val="-2"/>
          <w:sz w:val="28"/>
          <w:szCs w:val="28"/>
        </w:rPr>
      </w:pPr>
      <w:r w:rsidRPr="002C572F">
        <w:rPr>
          <w:rFonts w:eastAsia="Times New Roman"/>
          <w:spacing w:val="-2"/>
          <w:sz w:val="28"/>
          <w:szCs w:val="28"/>
        </w:rPr>
        <w:t>Trên cơ sở Tờ trình của Chính phủ, ý kiến của các đại biểu dự họp, Ủy ban TCNS xin báo cáo Ủy ban Thường vụ Quốc hội (UBTVQH) một số vấn đề sau:</w:t>
      </w:r>
    </w:p>
    <w:p w:rsidR="00AC242F" w:rsidRPr="002C572F" w:rsidRDefault="00AC242F" w:rsidP="00BD0BE0">
      <w:pPr>
        <w:spacing w:before="60" w:after="60" w:line="360" w:lineRule="exact"/>
        <w:ind w:firstLine="567"/>
        <w:jc w:val="both"/>
        <w:rPr>
          <w:sz w:val="28"/>
          <w:szCs w:val="28"/>
        </w:rPr>
      </w:pPr>
      <w:r w:rsidRPr="002C572F">
        <w:rPr>
          <w:rFonts w:ascii="Times New Roman Bold" w:hAnsi="Times New Roman Bold"/>
          <w:b/>
          <w:sz w:val="28"/>
          <w:szCs w:val="28"/>
          <w:lang w:val="vi-VN"/>
        </w:rPr>
        <w:t xml:space="preserve">1. </w:t>
      </w:r>
      <w:r w:rsidRPr="002C572F">
        <w:rPr>
          <w:b/>
          <w:sz w:val="28"/>
          <w:szCs w:val="28"/>
          <w:lang w:val="vi-VN"/>
        </w:rPr>
        <w:t xml:space="preserve">Về </w:t>
      </w:r>
      <w:r w:rsidRPr="002C572F">
        <w:rPr>
          <w:b/>
          <w:sz w:val="28"/>
          <w:szCs w:val="28"/>
        </w:rPr>
        <w:t>thẩm quyền</w:t>
      </w:r>
      <w:r w:rsidR="00810CB1" w:rsidRPr="002C572F">
        <w:rPr>
          <w:b/>
          <w:sz w:val="28"/>
          <w:szCs w:val="28"/>
        </w:rPr>
        <w:t xml:space="preserve"> xem xét,</w:t>
      </w:r>
      <w:r w:rsidRPr="002C572F">
        <w:rPr>
          <w:b/>
          <w:sz w:val="28"/>
          <w:szCs w:val="28"/>
        </w:rPr>
        <w:t xml:space="preserve"> quyết định</w:t>
      </w:r>
      <w:r w:rsidRPr="002C572F">
        <w:rPr>
          <w:b/>
          <w:sz w:val="28"/>
          <w:szCs w:val="28"/>
          <w:lang w:val="vi-VN"/>
        </w:rPr>
        <w:t xml:space="preserve"> </w:t>
      </w:r>
    </w:p>
    <w:p w:rsidR="00152C64" w:rsidRPr="002C572F" w:rsidRDefault="004256B9" w:rsidP="007522E5">
      <w:pPr>
        <w:spacing w:before="60" w:after="60" w:line="370" w:lineRule="exact"/>
        <w:ind w:firstLine="567"/>
        <w:jc w:val="both"/>
        <w:rPr>
          <w:spacing w:val="-2"/>
          <w:sz w:val="28"/>
          <w:szCs w:val="28"/>
        </w:rPr>
      </w:pPr>
      <w:r w:rsidRPr="002C572F">
        <w:rPr>
          <w:bCs/>
          <w:spacing w:val="-2"/>
          <w:sz w:val="28"/>
          <w:szCs w:val="28"/>
          <w:lang w:val="pt-BR"/>
        </w:rPr>
        <w:t>Chính phủ trình Ủy ban Thường vụ Quốc hội xem xét, quyết định về việc điều chỉnh</w:t>
      </w:r>
      <w:r w:rsidR="00152C64" w:rsidRPr="002C572F">
        <w:rPr>
          <w:bCs/>
          <w:spacing w:val="-2"/>
          <w:sz w:val="28"/>
          <w:szCs w:val="28"/>
          <w:lang w:val="pt-BR"/>
        </w:rPr>
        <w:t>,</w:t>
      </w:r>
      <w:r w:rsidRPr="002C572F">
        <w:rPr>
          <w:bCs/>
          <w:spacing w:val="-2"/>
          <w:sz w:val="28"/>
          <w:szCs w:val="28"/>
          <w:lang w:val="pt-BR"/>
        </w:rPr>
        <w:t xml:space="preserve"> bổ sung kế hoạch đầu tư công nguồn ngân sách trung ương năm 2024</w:t>
      </w:r>
      <w:r w:rsidR="00152C64" w:rsidRPr="002C572F">
        <w:rPr>
          <w:bCs/>
          <w:spacing w:val="-2"/>
          <w:sz w:val="28"/>
          <w:szCs w:val="28"/>
          <w:lang w:val="pt-BR"/>
        </w:rPr>
        <w:t xml:space="preserve">, tổng số vốn là </w:t>
      </w:r>
      <w:r w:rsidR="00152C64" w:rsidRPr="002C572F">
        <w:rPr>
          <w:b/>
          <w:bCs/>
          <w:spacing w:val="-2"/>
          <w:sz w:val="28"/>
          <w:szCs w:val="28"/>
          <w:lang w:val="pt-BR"/>
        </w:rPr>
        <w:t>8.446,866 tỷ đồng</w:t>
      </w:r>
      <w:r w:rsidR="00152C64" w:rsidRPr="002C572F">
        <w:rPr>
          <w:bCs/>
          <w:spacing w:val="-2"/>
          <w:sz w:val="28"/>
          <w:szCs w:val="28"/>
          <w:lang w:val="pt-BR"/>
        </w:rPr>
        <w:t xml:space="preserve">, bao gồm </w:t>
      </w:r>
      <w:r w:rsidR="00152C64" w:rsidRPr="002C572F">
        <w:rPr>
          <w:b/>
          <w:bCs/>
          <w:spacing w:val="-2"/>
          <w:sz w:val="28"/>
          <w:szCs w:val="28"/>
          <w:lang w:val="pt-BR"/>
        </w:rPr>
        <w:t>(i)</w:t>
      </w:r>
      <w:r w:rsidR="00152C64" w:rsidRPr="002C572F">
        <w:rPr>
          <w:bCs/>
          <w:spacing w:val="-2"/>
          <w:sz w:val="28"/>
          <w:szCs w:val="28"/>
          <w:lang w:val="pt-BR"/>
        </w:rPr>
        <w:t xml:space="preserve"> </w:t>
      </w:r>
      <w:r w:rsidR="00152C64" w:rsidRPr="002C572F">
        <w:rPr>
          <w:b/>
          <w:bCs/>
          <w:spacing w:val="-2"/>
          <w:sz w:val="28"/>
          <w:szCs w:val="32"/>
          <w:lang w:val="es-ES"/>
        </w:rPr>
        <w:t>7.313,553</w:t>
      </w:r>
      <w:r w:rsidR="00152C64" w:rsidRPr="002C572F">
        <w:rPr>
          <w:b/>
          <w:bCs/>
          <w:spacing w:val="-2"/>
          <w:szCs w:val="28"/>
          <w:lang w:val="es-ES"/>
        </w:rPr>
        <w:t xml:space="preserve"> </w:t>
      </w:r>
      <w:r w:rsidR="00152C64" w:rsidRPr="002C572F">
        <w:rPr>
          <w:b/>
          <w:noProof/>
          <w:spacing w:val="-2"/>
          <w:sz w:val="28"/>
          <w:szCs w:val="28"/>
          <w:lang w:val="es-ES"/>
        </w:rPr>
        <w:t>tỷ đồng</w:t>
      </w:r>
      <w:r w:rsidR="00152C64" w:rsidRPr="002C572F">
        <w:rPr>
          <w:noProof/>
          <w:spacing w:val="-2"/>
          <w:sz w:val="28"/>
          <w:szCs w:val="28"/>
          <w:lang w:val="es-ES"/>
        </w:rPr>
        <w:t xml:space="preserve"> </w:t>
      </w:r>
      <w:r w:rsidR="00152C64" w:rsidRPr="002C572F">
        <w:rPr>
          <w:spacing w:val="-2"/>
          <w:sz w:val="28"/>
          <w:szCs w:val="28"/>
        </w:rPr>
        <w:t xml:space="preserve">vốn trong nước điều chỉnh giảm </w:t>
      </w:r>
      <w:r w:rsidR="00152C64" w:rsidRPr="002C572F">
        <w:rPr>
          <w:noProof/>
          <w:spacing w:val="-2"/>
          <w:sz w:val="28"/>
          <w:szCs w:val="28"/>
          <w:lang w:val="es-ES"/>
        </w:rPr>
        <w:t xml:space="preserve">của 20 bộ, cơ quan trung ương và địa phương để bổ sung tương ứng cho </w:t>
      </w:r>
      <w:r w:rsidR="00152C64" w:rsidRPr="002C572F">
        <w:rPr>
          <w:bCs/>
          <w:iCs/>
          <w:noProof/>
          <w:spacing w:val="-2"/>
          <w:sz w:val="28"/>
          <w:szCs w:val="28"/>
          <w:lang w:val="es-ES"/>
        </w:rPr>
        <w:t>12 bộ, cơ quan trung ương và địa phương</w:t>
      </w:r>
      <w:r w:rsidR="00152C64" w:rsidRPr="002C572F">
        <w:rPr>
          <w:noProof/>
          <w:spacing w:val="-2"/>
          <w:sz w:val="28"/>
          <w:szCs w:val="28"/>
          <w:lang w:val="es-ES"/>
        </w:rPr>
        <w:t xml:space="preserve">; </w:t>
      </w:r>
      <w:r w:rsidR="00152C64" w:rsidRPr="002C572F">
        <w:rPr>
          <w:b/>
          <w:noProof/>
          <w:spacing w:val="-2"/>
          <w:sz w:val="28"/>
          <w:szCs w:val="28"/>
          <w:lang w:val="es-ES"/>
        </w:rPr>
        <w:t>(ii)</w:t>
      </w:r>
      <w:r w:rsidR="00152C64" w:rsidRPr="002C572F">
        <w:rPr>
          <w:noProof/>
          <w:spacing w:val="-2"/>
          <w:sz w:val="28"/>
          <w:szCs w:val="28"/>
          <w:lang w:val="es-ES"/>
        </w:rPr>
        <w:t xml:space="preserve"> </w:t>
      </w:r>
      <w:r w:rsidR="00152C64" w:rsidRPr="002C572F">
        <w:rPr>
          <w:b/>
          <w:spacing w:val="-2"/>
          <w:sz w:val="28"/>
          <w:szCs w:val="28"/>
          <w:lang w:val="es-ES"/>
        </w:rPr>
        <w:t>1.133,313 tỷ đồng</w:t>
      </w:r>
      <w:r w:rsidR="00152C64" w:rsidRPr="002C572F">
        <w:rPr>
          <w:spacing w:val="-2"/>
          <w:sz w:val="28"/>
          <w:szCs w:val="28"/>
          <w:lang w:val="es-ES"/>
        </w:rPr>
        <w:t xml:space="preserve"> </w:t>
      </w:r>
      <w:r w:rsidR="00152C64" w:rsidRPr="002C572F">
        <w:rPr>
          <w:spacing w:val="-2"/>
          <w:sz w:val="28"/>
          <w:szCs w:val="28"/>
        </w:rPr>
        <w:t xml:space="preserve">vốn nước ngoài điều chỉnh giảm </w:t>
      </w:r>
      <w:r w:rsidR="00152C64" w:rsidRPr="002C572F">
        <w:rPr>
          <w:bCs/>
          <w:iCs/>
          <w:noProof/>
          <w:spacing w:val="-2"/>
          <w:sz w:val="28"/>
          <w:szCs w:val="28"/>
          <w:lang w:val="nl-NL"/>
        </w:rPr>
        <w:t xml:space="preserve">của </w:t>
      </w:r>
      <w:r w:rsidR="00152C64" w:rsidRPr="002C572F">
        <w:rPr>
          <w:spacing w:val="-2"/>
          <w:sz w:val="28"/>
          <w:szCs w:val="28"/>
          <w:lang w:val="es-ES"/>
        </w:rPr>
        <w:t xml:space="preserve">04 bộ, địa phương để bổ sung tương ứng </w:t>
      </w:r>
      <w:r w:rsidR="00152C64" w:rsidRPr="002C572F">
        <w:rPr>
          <w:spacing w:val="-2"/>
          <w:sz w:val="28"/>
          <w:szCs w:val="28"/>
          <w:lang w:val="pt-BR"/>
        </w:rPr>
        <w:t xml:space="preserve">cho </w:t>
      </w:r>
      <w:r w:rsidR="00152C64" w:rsidRPr="002C572F">
        <w:rPr>
          <w:bCs/>
          <w:iCs/>
          <w:noProof/>
          <w:spacing w:val="-2"/>
          <w:sz w:val="28"/>
          <w:szCs w:val="28"/>
          <w:lang w:val="es-ES"/>
        </w:rPr>
        <w:t>Bộ Y tế và 1</w:t>
      </w:r>
      <w:r w:rsidR="00764794" w:rsidRPr="002C572F">
        <w:rPr>
          <w:bCs/>
          <w:iCs/>
          <w:noProof/>
          <w:spacing w:val="-2"/>
          <w:sz w:val="28"/>
          <w:szCs w:val="28"/>
          <w:lang w:val="es-ES"/>
        </w:rPr>
        <w:t>3</w:t>
      </w:r>
      <w:r w:rsidR="00152C64" w:rsidRPr="002C572F">
        <w:rPr>
          <w:bCs/>
          <w:iCs/>
          <w:noProof/>
          <w:spacing w:val="-2"/>
          <w:sz w:val="28"/>
          <w:szCs w:val="28"/>
          <w:lang w:val="es-ES"/>
        </w:rPr>
        <w:t xml:space="preserve"> địa phương.</w:t>
      </w:r>
    </w:p>
    <w:p w:rsidR="00A71554" w:rsidRPr="002C572F" w:rsidRDefault="00152C64" w:rsidP="007522E5">
      <w:pPr>
        <w:widowControl w:val="0"/>
        <w:pBdr>
          <w:bottom w:val="single" w:sz="4" w:space="31" w:color="FFFFFF"/>
        </w:pBdr>
        <w:spacing w:before="40" w:after="40" w:line="370" w:lineRule="exact"/>
        <w:ind w:firstLine="720"/>
        <w:jc w:val="both"/>
        <w:rPr>
          <w:bCs/>
          <w:iCs/>
          <w:spacing w:val="2"/>
          <w:sz w:val="28"/>
          <w:szCs w:val="28"/>
          <w:lang w:val="vi-VN"/>
        </w:rPr>
      </w:pPr>
      <w:r w:rsidRPr="002C572F">
        <w:rPr>
          <w:bCs/>
          <w:iCs/>
          <w:spacing w:val="2"/>
          <w:sz w:val="28"/>
          <w:szCs w:val="28"/>
        </w:rPr>
        <w:t xml:space="preserve">Thường trực </w:t>
      </w:r>
      <w:r w:rsidRPr="002C572F">
        <w:rPr>
          <w:bCs/>
          <w:iCs/>
          <w:spacing w:val="2"/>
          <w:sz w:val="28"/>
          <w:szCs w:val="28"/>
          <w:lang w:val="vi-VN"/>
        </w:rPr>
        <w:t xml:space="preserve">Uỷ ban TCNS </w:t>
      </w:r>
      <w:r w:rsidRPr="002C572F">
        <w:rPr>
          <w:bCs/>
          <w:iCs/>
          <w:spacing w:val="2"/>
          <w:sz w:val="28"/>
          <w:szCs w:val="28"/>
        </w:rPr>
        <w:t>nhận thấy</w:t>
      </w:r>
      <w:r w:rsidR="00A71554" w:rsidRPr="002C572F">
        <w:rPr>
          <w:bCs/>
          <w:iCs/>
          <w:spacing w:val="2"/>
          <w:sz w:val="28"/>
          <w:szCs w:val="28"/>
        </w:rPr>
        <w:t xml:space="preserve">: </w:t>
      </w:r>
      <w:r w:rsidR="00A71554" w:rsidRPr="002C572F">
        <w:rPr>
          <w:b/>
          <w:bCs/>
          <w:iCs/>
          <w:spacing w:val="2"/>
          <w:sz w:val="28"/>
          <w:szCs w:val="28"/>
        </w:rPr>
        <w:t>(i)</w:t>
      </w:r>
      <w:r w:rsidRPr="002C572F">
        <w:rPr>
          <w:b/>
          <w:bCs/>
          <w:iCs/>
          <w:spacing w:val="2"/>
          <w:sz w:val="28"/>
          <w:szCs w:val="28"/>
        </w:rPr>
        <w:t xml:space="preserve"> </w:t>
      </w:r>
      <w:r w:rsidR="00A71554" w:rsidRPr="002C572F">
        <w:rPr>
          <w:bCs/>
          <w:iCs/>
          <w:spacing w:val="2"/>
          <w:sz w:val="28"/>
          <w:szCs w:val="28"/>
        </w:rPr>
        <w:t>V</w:t>
      </w:r>
      <w:r w:rsidRPr="002C572F">
        <w:rPr>
          <w:bCs/>
          <w:iCs/>
          <w:spacing w:val="2"/>
          <w:sz w:val="28"/>
          <w:szCs w:val="28"/>
        </w:rPr>
        <w:t>iệc điều chỉnh giảm kế hoạch đầu tư công</w:t>
      </w:r>
      <w:r w:rsidR="00A34506" w:rsidRPr="002C572F">
        <w:rPr>
          <w:bCs/>
          <w:iCs/>
          <w:spacing w:val="2"/>
          <w:sz w:val="28"/>
          <w:szCs w:val="28"/>
        </w:rPr>
        <w:t xml:space="preserve"> năm 2024 của </w:t>
      </w:r>
      <w:r w:rsidRPr="002C572F">
        <w:rPr>
          <w:bCs/>
          <w:iCs/>
          <w:spacing w:val="2"/>
          <w:sz w:val="28"/>
          <w:szCs w:val="28"/>
        </w:rPr>
        <w:t>các bộ, cơ quan trung ương và địa phương</w:t>
      </w:r>
      <w:r w:rsidR="00764794" w:rsidRPr="002C572F">
        <w:rPr>
          <w:bCs/>
          <w:iCs/>
          <w:spacing w:val="2"/>
          <w:sz w:val="28"/>
          <w:szCs w:val="28"/>
        </w:rPr>
        <w:t xml:space="preserve"> (</w:t>
      </w:r>
      <w:r w:rsidR="00764794" w:rsidRPr="002C572F">
        <w:rPr>
          <w:bCs/>
          <w:i/>
          <w:iCs/>
          <w:spacing w:val="2"/>
          <w:sz w:val="28"/>
          <w:szCs w:val="28"/>
        </w:rPr>
        <w:t xml:space="preserve">bao gồm </w:t>
      </w:r>
      <w:r w:rsidR="00764794" w:rsidRPr="002C572F">
        <w:rPr>
          <w:b/>
          <w:bCs/>
          <w:i/>
          <w:iCs/>
          <w:spacing w:val="2"/>
          <w:sz w:val="28"/>
          <w:szCs w:val="28"/>
        </w:rPr>
        <w:t>s</w:t>
      </w:r>
      <w:r w:rsidR="00764794" w:rsidRPr="002C572F">
        <w:rPr>
          <w:bCs/>
          <w:i/>
          <w:iCs/>
          <w:spacing w:val="2"/>
          <w:sz w:val="28"/>
          <w:szCs w:val="28"/>
        </w:rPr>
        <w:t xml:space="preserve">ố vốn đã được Thủ tướng Chính phủ giao nhưng các bộ, cơ quan trung ương và địa phương chưa phân bổ cho các dự án do dự án chưa đủ thủ tục đầu tư theo quy định và </w:t>
      </w:r>
      <w:r w:rsidR="00A34506" w:rsidRPr="002C572F">
        <w:rPr>
          <w:bCs/>
          <w:i/>
          <w:iCs/>
          <w:spacing w:val="2"/>
          <w:sz w:val="28"/>
          <w:szCs w:val="28"/>
        </w:rPr>
        <w:t>s</w:t>
      </w:r>
      <w:r w:rsidR="00764794" w:rsidRPr="002C572F">
        <w:rPr>
          <w:bCs/>
          <w:i/>
          <w:iCs/>
          <w:spacing w:val="2"/>
          <w:sz w:val="28"/>
          <w:szCs w:val="28"/>
        </w:rPr>
        <w:t>ố vốn đã phân bổ chi tiết cho các dự án nhưng không giải ngân được</w:t>
      </w:r>
      <w:r w:rsidR="00A34506" w:rsidRPr="002C572F">
        <w:rPr>
          <w:rStyle w:val="FootnoteReference"/>
          <w:bCs/>
          <w:i/>
          <w:iCs/>
          <w:spacing w:val="2"/>
          <w:sz w:val="28"/>
          <w:szCs w:val="28"/>
        </w:rPr>
        <w:footnoteReference w:id="1"/>
      </w:r>
      <w:r w:rsidR="00A34506" w:rsidRPr="002C572F">
        <w:rPr>
          <w:bCs/>
          <w:iCs/>
          <w:spacing w:val="2"/>
          <w:sz w:val="28"/>
          <w:szCs w:val="28"/>
        </w:rPr>
        <w:t xml:space="preserve">) </w:t>
      </w:r>
      <w:r w:rsidRPr="002C572F">
        <w:rPr>
          <w:bCs/>
          <w:iCs/>
          <w:spacing w:val="2"/>
          <w:sz w:val="28"/>
          <w:szCs w:val="28"/>
        </w:rPr>
        <w:t xml:space="preserve">để điều chỉnh </w:t>
      </w:r>
      <w:r w:rsidR="00A34506" w:rsidRPr="002C572F">
        <w:rPr>
          <w:bCs/>
          <w:iCs/>
          <w:spacing w:val="2"/>
          <w:sz w:val="28"/>
          <w:szCs w:val="28"/>
        </w:rPr>
        <w:t>bổ sung</w:t>
      </w:r>
      <w:r w:rsidRPr="002C572F">
        <w:rPr>
          <w:bCs/>
          <w:iCs/>
          <w:spacing w:val="2"/>
          <w:sz w:val="28"/>
          <w:szCs w:val="28"/>
        </w:rPr>
        <w:t xml:space="preserve"> cho các bộ, cơ quan trung ương và địa phương </w:t>
      </w:r>
      <w:r w:rsidR="00A34506" w:rsidRPr="002C572F">
        <w:rPr>
          <w:bCs/>
          <w:iCs/>
          <w:spacing w:val="2"/>
          <w:sz w:val="28"/>
          <w:szCs w:val="28"/>
        </w:rPr>
        <w:t>thực hiện c</w:t>
      </w:r>
      <w:r w:rsidRPr="002C572F">
        <w:rPr>
          <w:bCs/>
          <w:iCs/>
          <w:spacing w:val="2"/>
          <w:sz w:val="28"/>
          <w:szCs w:val="28"/>
        </w:rPr>
        <w:t xml:space="preserve">ác dự án có khả năng giải ngân </w:t>
      </w:r>
      <w:r w:rsidR="00A71554" w:rsidRPr="002C572F">
        <w:rPr>
          <w:bCs/>
          <w:iCs/>
          <w:spacing w:val="2"/>
          <w:sz w:val="28"/>
          <w:szCs w:val="28"/>
        </w:rPr>
        <w:t xml:space="preserve">nhằm </w:t>
      </w:r>
      <w:r w:rsidRPr="002C572F">
        <w:rPr>
          <w:bCs/>
          <w:iCs/>
          <w:spacing w:val="2"/>
          <w:sz w:val="28"/>
          <w:szCs w:val="28"/>
        </w:rPr>
        <w:t>đẩy nhanh tiến độ thực hiện, sớm hoàn thành dự án</w:t>
      </w:r>
      <w:r w:rsidR="00A71554" w:rsidRPr="002C572F">
        <w:rPr>
          <w:bCs/>
          <w:iCs/>
          <w:spacing w:val="2"/>
          <w:sz w:val="28"/>
          <w:szCs w:val="28"/>
        </w:rPr>
        <w:t xml:space="preserve"> đưa vào sử dụng, phát huy hiệu quả kinh tế, xã hội; </w:t>
      </w:r>
      <w:r w:rsidR="00A71554" w:rsidRPr="002C572F">
        <w:rPr>
          <w:b/>
          <w:bCs/>
          <w:iCs/>
          <w:spacing w:val="2"/>
          <w:sz w:val="28"/>
          <w:szCs w:val="28"/>
        </w:rPr>
        <w:t xml:space="preserve">(ii) </w:t>
      </w:r>
      <w:r w:rsidR="00A71554" w:rsidRPr="002C572F">
        <w:rPr>
          <w:bCs/>
          <w:iCs/>
          <w:spacing w:val="2"/>
          <w:sz w:val="28"/>
          <w:szCs w:val="28"/>
        </w:rPr>
        <w:t>V</w:t>
      </w:r>
      <w:r w:rsidRPr="002C572F">
        <w:rPr>
          <w:bCs/>
          <w:iCs/>
          <w:spacing w:val="2"/>
          <w:sz w:val="28"/>
          <w:szCs w:val="28"/>
          <w:lang w:val="vi-VN"/>
        </w:rPr>
        <w:t>iệc điều chỉnh</w:t>
      </w:r>
      <w:r w:rsidR="00A71554" w:rsidRPr="002C572F">
        <w:rPr>
          <w:bCs/>
          <w:iCs/>
          <w:spacing w:val="2"/>
          <w:sz w:val="28"/>
          <w:szCs w:val="28"/>
        </w:rPr>
        <w:t>, bổ sung</w:t>
      </w:r>
      <w:r w:rsidRPr="002C572F">
        <w:rPr>
          <w:bCs/>
          <w:iCs/>
          <w:spacing w:val="2"/>
          <w:sz w:val="28"/>
          <w:szCs w:val="28"/>
          <w:lang w:val="vi-VN"/>
        </w:rPr>
        <w:t xml:space="preserve"> </w:t>
      </w:r>
      <w:r w:rsidR="00A71554" w:rsidRPr="002C572F">
        <w:rPr>
          <w:spacing w:val="2"/>
          <w:sz w:val="28"/>
          <w:szCs w:val="28"/>
          <w:lang w:val="vi-VN"/>
        </w:rPr>
        <w:t xml:space="preserve">không thay đổi tổng mức vốn trung hạn và hằng năm đã được Quốc hội quyết </w:t>
      </w:r>
      <w:r w:rsidR="00A71554" w:rsidRPr="002C572F">
        <w:rPr>
          <w:spacing w:val="2"/>
          <w:sz w:val="28"/>
          <w:szCs w:val="28"/>
          <w:lang w:val="vi-VN"/>
        </w:rPr>
        <w:lastRenderedPageBreak/>
        <w:t>định</w:t>
      </w:r>
      <w:r w:rsidR="00A71554" w:rsidRPr="002C572F">
        <w:rPr>
          <w:spacing w:val="2"/>
          <w:sz w:val="28"/>
          <w:szCs w:val="28"/>
        </w:rPr>
        <w:t xml:space="preserve">, vì vậy, thuộc thẩm quyền của Ủy ban Thường vụ Quốc hội theo quy định tại </w:t>
      </w:r>
      <w:r w:rsidRPr="002C572F">
        <w:rPr>
          <w:bCs/>
          <w:iCs/>
          <w:spacing w:val="2"/>
          <w:sz w:val="28"/>
          <w:szCs w:val="28"/>
          <w:lang w:val="vi-VN"/>
        </w:rPr>
        <w:t>Khoản 2 Điều 67 Luật Đầu tư công</w:t>
      </w:r>
      <w:r w:rsidRPr="002C572F">
        <w:rPr>
          <w:rStyle w:val="FootnoteReference"/>
          <w:bCs/>
          <w:iCs/>
          <w:spacing w:val="2"/>
          <w:sz w:val="28"/>
          <w:szCs w:val="28"/>
          <w:lang w:val="vi-VN"/>
        </w:rPr>
        <w:footnoteReference w:id="2"/>
      </w:r>
      <w:r w:rsidRPr="002C572F">
        <w:rPr>
          <w:bCs/>
          <w:iCs/>
          <w:spacing w:val="2"/>
          <w:sz w:val="28"/>
          <w:szCs w:val="28"/>
          <w:lang w:val="vi-VN"/>
        </w:rPr>
        <w:t xml:space="preserve"> và Khoản 2 Điều 52 Luật NSNN</w:t>
      </w:r>
      <w:r w:rsidRPr="002C572F">
        <w:rPr>
          <w:rStyle w:val="FootnoteReference"/>
          <w:bCs/>
          <w:iCs/>
          <w:spacing w:val="2"/>
          <w:sz w:val="28"/>
          <w:szCs w:val="28"/>
          <w:lang w:val="vi-VN"/>
        </w:rPr>
        <w:footnoteReference w:id="3"/>
      </w:r>
      <w:r w:rsidRPr="002C572F">
        <w:rPr>
          <w:bCs/>
          <w:iCs/>
          <w:spacing w:val="2"/>
          <w:sz w:val="28"/>
          <w:szCs w:val="28"/>
          <w:lang w:val="vi-VN"/>
        </w:rPr>
        <w:t>.</w:t>
      </w:r>
    </w:p>
    <w:p w:rsidR="00621C70" w:rsidRPr="002C572F" w:rsidRDefault="004256B9" w:rsidP="00A71554">
      <w:pPr>
        <w:widowControl w:val="0"/>
        <w:pBdr>
          <w:bottom w:val="single" w:sz="4" w:space="31" w:color="FFFFFF"/>
        </w:pBdr>
        <w:spacing w:before="40" w:after="40" w:line="360" w:lineRule="exact"/>
        <w:ind w:firstLine="720"/>
        <w:jc w:val="both"/>
        <w:rPr>
          <w:b/>
          <w:iCs/>
          <w:sz w:val="28"/>
          <w:szCs w:val="28"/>
          <w:lang w:val="en-GB"/>
        </w:rPr>
      </w:pPr>
      <w:r w:rsidRPr="002C572F">
        <w:rPr>
          <w:b/>
          <w:bCs/>
          <w:sz w:val="28"/>
          <w:szCs w:val="28"/>
        </w:rPr>
        <w:t>2</w:t>
      </w:r>
      <w:r w:rsidR="00AC242F" w:rsidRPr="002C572F">
        <w:rPr>
          <w:b/>
          <w:bCs/>
          <w:sz w:val="28"/>
          <w:szCs w:val="28"/>
        </w:rPr>
        <w:t xml:space="preserve">. </w:t>
      </w:r>
      <w:r w:rsidR="00AC242F" w:rsidRPr="002C572F">
        <w:rPr>
          <w:b/>
          <w:bCs/>
          <w:sz w:val="28"/>
          <w:szCs w:val="28"/>
          <w:lang w:val="vi-VN"/>
        </w:rPr>
        <w:t xml:space="preserve">Về nguyên tắc, tiêu chí </w:t>
      </w:r>
      <w:r w:rsidR="00AC242F" w:rsidRPr="002C572F">
        <w:rPr>
          <w:b/>
          <w:iCs/>
          <w:sz w:val="28"/>
          <w:szCs w:val="28"/>
          <w:lang w:val="en-GB"/>
        </w:rPr>
        <w:t xml:space="preserve">điều chỉnh, bổ sung kế hoạch đầu tư vốn NSTW năm </w:t>
      </w:r>
      <w:r w:rsidR="00BD0BE0" w:rsidRPr="002C572F">
        <w:rPr>
          <w:b/>
          <w:iCs/>
          <w:sz w:val="28"/>
          <w:szCs w:val="28"/>
          <w:lang w:val="en-GB"/>
        </w:rPr>
        <w:t>2024</w:t>
      </w:r>
    </w:p>
    <w:p w:rsidR="00621C70" w:rsidRPr="002C572F" w:rsidRDefault="00103E1F" w:rsidP="007522E5">
      <w:pPr>
        <w:widowControl w:val="0"/>
        <w:pBdr>
          <w:bottom w:val="single" w:sz="4" w:space="31" w:color="FFFFFF"/>
        </w:pBdr>
        <w:spacing w:before="60" w:after="60" w:line="360" w:lineRule="exact"/>
        <w:ind w:firstLine="720"/>
        <w:jc w:val="both"/>
        <w:rPr>
          <w:sz w:val="28"/>
          <w:szCs w:val="28"/>
        </w:rPr>
      </w:pPr>
      <w:r w:rsidRPr="002C572F">
        <w:rPr>
          <w:iCs/>
          <w:sz w:val="28"/>
          <w:szCs w:val="28"/>
          <w:lang w:val="en-GB"/>
        </w:rPr>
        <w:t xml:space="preserve">Tờ trình của Chính phủ đã nêu các nguyên tắc điều chỉnh, bổ sung căn cứ quy định của Luật Đầu tư công và các Nghị quyết của Quốc hội, Thường trực Ủy ban TCNS nhất trí và đề nghị </w:t>
      </w:r>
      <w:r w:rsidR="00E46C91" w:rsidRPr="002C572F">
        <w:rPr>
          <w:iCs/>
          <w:sz w:val="28"/>
          <w:szCs w:val="28"/>
          <w:lang w:val="en-GB"/>
        </w:rPr>
        <w:t>Chính phủ chỉ đạo</w:t>
      </w:r>
      <w:r w:rsidR="00A34506" w:rsidRPr="002C572F">
        <w:rPr>
          <w:iCs/>
          <w:sz w:val="28"/>
          <w:szCs w:val="28"/>
          <w:lang w:val="en-GB"/>
        </w:rPr>
        <w:t xml:space="preserve"> các bộ, cơ quan trung ương và địa phương</w:t>
      </w:r>
      <w:r w:rsidR="00E46C91" w:rsidRPr="002C572F">
        <w:rPr>
          <w:iCs/>
          <w:sz w:val="28"/>
          <w:szCs w:val="28"/>
          <w:lang w:val="en-GB"/>
        </w:rPr>
        <w:t xml:space="preserve"> rà soát danh mục điều chỉnh, bổ sung bảo đảm tuân thủ các nguyên tắc đã đề ra, trong đó lưu ý</w:t>
      </w:r>
      <w:r w:rsidR="007522E5" w:rsidRPr="002C572F">
        <w:rPr>
          <w:iCs/>
          <w:sz w:val="28"/>
          <w:szCs w:val="28"/>
          <w:lang w:val="en-GB"/>
        </w:rPr>
        <w:t xml:space="preserve"> việc b</w:t>
      </w:r>
      <w:r w:rsidR="00AC242F" w:rsidRPr="002C572F">
        <w:rPr>
          <w:bCs/>
          <w:iCs/>
          <w:sz w:val="28"/>
          <w:szCs w:val="28"/>
          <w:lang w:val="en-GB"/>
        </w:rPr>
        <w:t xml:space="preserve">ổ sung kế hoạch đầu tư vốn NSTW năm </w:t>
      </w:r>
      <w:r w:rsidR="00BD0BE0" w:rsidRPr="002C572F">
        <w:rPr>
          <w:bCs/>
          <w:iCs/>
          <w:sz w:val="28"/>
          <w:szCs w:val="28"/>
          <w:lang w:val="en-GB"/>
        </w:rPr>
        <w:t>2024</w:t>
      </w:r>
      <w:r w:rsidR="00AC242F" w:rsidRPr="002C572F">
        <w:rPr>
          <w:bCs/>
          <w:iCs/>
          <w:sz w:val="28"/>
          <w:szCs w:val="28"/>
          <w:lang w:val="en-GB"/>
        </w:rPr>
        <w:t xml:space="preserve"> phải đảm bảo điều kiện: </w:t>
      </w:r>
      <w:r w:rsidR="00AC242F" w:rsidRPr="002C572F">
        <w:rPr>
          <w:b/>
          <w:bCs/>
          <w:iCs/>
          <w:sz w:val="28"/>
          <w:szCs w:val="28"/>
          <w:lang w:val="en-GB"/>
        </w:rPr>
        <w:t>(i)</w:t>
      </w:r>
      <w:r w:rsidR="00AC242F" w:rsidRPr="002C572F">
        <w:rPr>
          <w:bCs/>
          <w:iCs/>
          <w:sz w:val="28"/>
          <w:szCs w:val="28"/>
          <w:lang w:val="en-GB"/>
        </w:rPr>
        <w:t xml:space="preserve"> Dự án đã được giao KHĐTCTH giai đoạn 2021-2025</w:t>
      </w:r>
      <w:r w:rsidRPr="002C572F">
        <w:rPr>
          <w:bCs/>
          <w:iCs/>
          <w:sz w:val="28"/>
          <w:szCs w:val="28"/>
          <w:lang w:val="en-GB"/>
        </w:rPr>
        <w:t xml:space="preserve"> và</w:t>
      </w:r>
      <w:r w:rsidR="00AC242F" w:rsidRPr="002C572F">
        <w:rPr>
          <w:bCs/>
          <w:iCs/>
          <w:sz w:val="28"/>
          <w:szCs w:val="28"/>
          <w:lang w:val="en-GB"/>
        </w:rPr>
        <w:t xml:space="preserve"> </w:t>
      </w:r>
      <w:r w:rsidR="00A71554" w:rsidRPr="002C572F">
        <w:rPr>
          <w:bCs/>
          <w:iCs/>
          <w:sz w:val="28"/>
          <w:szCs w:val="28"/>
          <w:lang w:val="en-GB"/>
        </w:rPr>
        <w:t>đ</w:t>
      </w:r>
      <w:r w:rsidR="00AC242F" w:rsidRPr="002C572F">
        <w:rPr>
          <w:bCs/>
          <w:iCs/>
          <w:sz w:val="28"/>
          <w:szCs w:val="28"/>
          <w:lang w:val="en-GB"/>
        </w:rPr>
        <w:t xml:space="preserve">ã đủ thủ tục đầu tư, có khả năng hấp thụ, giải ngân vốn trong năm </w:t>
      </w:r>
      <w:r w:rsidR="00BD0BE0" w:rsidRPr="002C572F">
        <w:rPr>
          <w:bCs/>
          <w:iCs/>
          <w:sz w:val="28"/>
          <w:szCs w:val="28"/>
          <w:lang w:val="en-GB"/>
        </w:rPr>
        <w:t>2024</w:t>
      </w:r>
      <w:r w:rsidR="00A71554" w:rsidRPr="002C572F">
        <w:rPr>
          <w:bCs/>
          <w:iCs/>
          <w:sz w:val="28"/>
          <w:szCs w:val="28"/>
          <w:lang w:val="en-GB"/>
        </w:rPr>
        <w:t xml:space="preserve">; </w:t>
      </w:r>
      <w:r w:rsidRPr="002C572F">
        <w:rPr>
          <w:b/>
          <w:bCs/>
          <w:iCs/>
          <w:sz w:val="28"/>
          <w:szCs w:val="28"/>
          <w:lang w:val="en-GB"/>
        </w:rPr>
        <w:t>(ii)</w:t>
      </w:r>
      <w:r w:rsidRPr="002C572F">
        <w:rPr>
          <w:bCs/>
          <w:iCs/>
          <w:sz w:val="28"/>
          <w:szCs w:val="28"/>
          <w:lang w:val="en-GB"/>
        </w:rPr>
        <w:t xml:space="preserve"> Tổng mức vốn sau khi được bổ sung của các nhiệm vụ, dự án không vượt quá số vốn KHĐTCTH nguồn NSTW đã được giao cho các nhiệm vụ, dự án; </w:t>
      </w:r>
      <w:r w:rsidRPr="002C572F">
        <w:rPr>
          <w:b/>
          <w:bCs/>
          <w:iCs/>
          <w:sz w:val="28"/>
          <w:szCs w:val="28"/>
          <w:lang w:val="en-GB"/>
        </w:rPr>
        <w:t>(iii)</w:t>
      </w:r>
      <w:r w:rsidRPr="002C572F">
        <w:rPr>
          <w:bCs/>
          <w:iCs/>
          <w:sz w:val="28"/>
          <w:szCs w:val="28"/>
          <w:lang w:val="en-GB"/>
        </w:rPr>
        <w:t xml:space="preserve"> </w:t>
      </w:r>
      <w:r w:rsidR="00AC242F" w:rsidRPr="002C572F">
        <w:rPr>
          <w:sz w:val="28"/>
          <w:szCs w:val="28"/>
        </w:rPr>
        <w:t xml:space="preserve">Chính phủ, các Bộ, cơ quan trung ương và địa phương cam kết giải ngân hết số vốn của Kế hoạch đầu tư công năm </w:t>
      </w:r>
      <w:r w:rsidR="00BD0BE0" w:rsidRPr="002C572F">
        <w:rPr>
          <w:sz w:val="28"/>
          <w:szCs w:val="28"/>
        </w:rPr>
        <w:t>2024</w:t>
      </w:r>
      <w:r w:rsidR="00AC242F" w:rsidRPr="002C572F">
        <w:rPr>
          <w:sz w:val="28"/>
          <w:szCs w:val="28"/>
        </w:rPr>
        <w:t xml:space="preserve"> đã được giao và số vốn được bổ sung</w:t>
      </w:r>
      <w:r w:rsidR="00A34506" w:rsidRPr="002C572F">
        <w:rPr>
          <w:sz w:val="28"/>
          <w:szCs w:val="28"/>
        </w:rPr>
        <w:t xml:space="preserve"> theo quy định, bảo đảm tiết kiệm, hiệu quả</w:t>
      </w:r>
      <w:r w:rsidR="00AC242F" w:rsidRPr="002C572F">
        <w:rPr>
          <w:sz w:val="28"/>
          <w:szCs w:val="28"/>
        </w:rPr>
        <w:t>.</w:t>
      </w:r>
    </w:p>
    <w:p w:rsidR="00E46C91" w:rsidRPr="002C572F" w:rsidRDefault="00892DD8" w:rsidP="00192B22">
      <w:pPr>
        <w:widowControl w:val="0"/>
        <w:pBdr>
          <w:bottom w:val="single" w:sz="4" w:space="31" w:color="FFFFFF"/>
        </w:pBdr>
        <w:spacing w:before="60" w:after="60" w:line="360" w:lineRule="exact"/>
        <w:ind w:firstLine="720"/>
        <w:jc w:val="both"/>
        <w:rPr>
          <w:b/>
          <w:iCs/>
          <w:sz w:val="28"/>
          <w:szCs w:val="28"/>
          <w:lang w:val="en-GB"/>
        </w:rPr>
      </w:pPr>
      <w:r w:rsidRPr="002C572F">
        <w:rPr>
          <w:b/>
          <w:iCs/>
          <w:sz w:val="28"/>
          <w:szCs w:val="28"/>
          <w:lang w:val="en-GB"/>
        </w:rPr>
        <w:t>3</w:t>
      </w:r>
      <w:r w:rsidR="00AC242F" w:rsidRPr="002C572F">
        <w:rPr>
          <w:b/>
          <w:iCs/>
          <w:sz w:val="28"/>
          <w:szCs w:val="28"/>
          <w:lang w:val="en-GB"/>
        </w:rPr>
        <w:t xml:space="preserve">. Về </w:t>
      </w:r>
      <w:r w:rsidRPr="002C572F">
        <w:rPr>
          <w:b/>
          <w:iCs/>
          <w:sz w:val="28"/>
          <w:szCs w:val="28"/>
          <w:lang w:val="en-GB"/>
        </w:rPr>
        <w:t>phương án</w:t>
      </w:r>
      <w:r w:rsidR="00AC242F" w:rsidRPr="002C572F">
        <w:rPr>
          <w:b/>
          <w:iCs/>
          <w:sz w:val="28"/>
          <w:szCs w:val="28"/>
          <w:lang w:val="en-GB"/>
        </w:rPr>
        <w:t xml:space="preserve"> </w:t>
      </w:r>
      <w:r w:rsidRPr="002C572F">
        <w:rPr>
          <w:b/>
          <w:iCs/>
          <w:sz w:val="28"/>
          <w:szCs w:val="28"/>
          <w:lang w:val="en-GB"/>
        </w:rPr>
        <w:t xml:space="preserve">điều chỉnh, </w:t>
      </w:r>
      <w:r w:rsidR="00AC242F" w:rsidRPr="002C572F">
        <w:rPr>
          <w:b/>
          <w:iCs/>
          <w:sz w:val="28"/>
          <w:szCs w:val="28"/>
          <w:lang w:val="en-GB"/>
        </w:rPr>
        <w:t>bổ sung</w:t>
      </w:r>
      <w:r w:rsidRPr="002C572F">
        <w:rPr>
          <w:b/>
          <w:iCs/>
          <w:sz w:val="28"/>
          <w:szCs w:val="28"/>
          <w:lang w:val="en-GB"/>
        </w:rPr>
        <w:t xml:space="preserve"> cụ thể</w:t>
      </w:r>
    </w:p>
    <w:p w:rsidR="00E46C91" w:rsidRPr="002C572F" w:rsidRDefault="00E46C91" w:rsidP="00192B22">
      <w:pPr>
        <w:widowControl w:val="0"/>
        <w:pBdr>
          <w:bottom w:val="single" w:sz="4" w:space="31" w:color="FFFFFF"/>
        </w:pBdr>
        <w:spacing w:before="60" w:after="60" w:line="360" w:lineRule="exact"/>
        <w:ind w:firstLine="720"/>
        <w:jc w:val="both"/>
        <w:rPr>
          <w:sz w:val="28"/>
          <w:szCs w:val="28"/>
        </w:rPr>
      </w:pPr>
      <w:r w:rsidRPr="002C572F">
        <w:rPr>
          <w:noProof/>
          <w:sz w:val="28"/>
          <w:szCs w:val="28"/>
          <w:lang w:val="es-ES"/>
        </w:rPr>
        <w:t>Chính phủ đề xuất</w:t>
      </w:r>
      <w:r w:rsidR="003966FB" w:rsidRPr="002C572F">
        <w:rPr>
          <w:noProof/>
          <w:sz w:val="28"/>
          <w:szCs w:val="28"/>
          <w:lang w:val="es-ES"/>
        </w:rPr>
        <w:t xml:space="preserve">: </w:t>
      </w:r>
      <w:r w:rsidR="003966FB" w:rsidRPr="002C572F">
        <w:rPr>
          <w:b/>
          <w:noProof/>
          <w:sz w:val="28"/>
          <w:szCs w:val="28"/>
          <w:lang w:val="es-ES"/>
        </w:rPr>
        <w:t>(1)</w:t>
      </w:r>
      <w:r w:rsidRPr="002C572F">
        <w:rPr>
          <w:noProof/>
          <w:sz w:val="28"/>
          <w:szCs w:val="28"/>
          <w:lang w:val="es-ES"/>
        </w:rPr>
        <w:t xml:space="preserve"> điều chỉnh giảm </w:t>
      </w:r>
      <w:r w:rsidRPr="002C572F">
        <w:rPr>
          <w:b/>
          <w:bCs/>
          <w:sz w:val="28"/>
          <w:szCs w:val="32"/>
          <w:lang w:val="es-ES"/>
        </w:rPr>
        <w:t>7.313,553</w:t>
      </w:r>
      <w:r w:rsidRPr="002C572F">
        <w:rPr>
          <w:b/>
          <w:bCs/>
          <w:szCs w:val="28"/>
          <w:lang w:val="es-ES"/>
        </w:rPr>
        <w:t xml:space="preserve"> </w:t>
      </w:r>
      <w:r w:rsidRPr="002C572F">
        <w:rPr>
          <w:b/>
          <w:noProof/>
          <w:sz w:val="28"/>
          <w:szCs w:val="28"/>
          <w:lang w:val="es-ES"/>
        </w:rPr>
        <w:t>tỷ đồng</w:t>
      </w:r>
      <w:r w:rsidRPr="002C572F">
        <w:rPr>
          <w:noProof/>
          <w:sz w:val="28"/>
          <w:szCs w:val="28"/>
          <w:lang w:val="es-ES"/>
        </w:rPr>
        <w:t xml:space="preserve"> </w:t>
      </w:r>
      <w:r w:rsidRPr="002C572F">
        <w:rPr>
          <w:sz w:val="28"/>
          <w:szCs w:val="28"/>
        </w:rPr>
        <w:t xml:space="preserve">vốn trong nước </w:t>
      </w:r>
      <w:r w:rsidRPr="002C572F">
        <w:rPr>
          <w:noProof/>
          <w:sz w:val="28"/>
          <w:szCs w:val="28"/>
          <w:lang w:val="es-ES"/>
        </w:rPr>
        <w:t xml:space="preserve">của 20 bộ, cơ quan trung ương và địa phương để bổ sung tương ứng cho </w:t>
      </w:r>
      <w:r w:rsidRPr="002C572F">
        <w:rPr>
          <w:bCs/>
          <w:iCs/>
          <w:noProof/>
          <w:sz w:val="28"/>
          <w:szCs w:val="28"/>
          <w:lang w:val="es-ES"/>
        </w:rPr>
        <w:t>12 bộ, cơ quan trung ương và địa phương</w:t>
      </w:r>
      <w:r w:rsidR="003966FB" w:rsidRPr="002C572F">
        <w:rPr>
          <w:bCs/>
          <w:iCs/>
          <w:noProof/>
          <w:sz w:val="28"/>
          <w:szCs w:val="28"/>
          <w:lang w:val="es-ES"/>
        </w:rPr>
        <w:t xml:space="preserve"> </w:t>
      </w:r>
      <w:r w:rsidR="003966FB" w:rsidRPr="002C572F">
        <w:rPr>
          <w:noProof/>
          <w:sz w:val="28"/>
          <w:szCs w:val="28"/>
          <w:lang w:val="es-ES"/>
        </w:rPr>
        <w:t>(t</w:t>
      </w:r>
      <w:r w:rsidRPr="002C572F">
        <w:rPr>
          <w:noProof/>
          <w:sz w:val="28"/>
          <w:szCs w:val="28"/>
          <w:lang w:val="es-ES"/>
        </w:rPr>
        <w:t>rong đó, số vốn điều chỉnh giảm bao gồm</w:t>
      </w:r>
      <w:r w:rsidR="00810CB1" w:rsidRPr="002C572F">
        <w:rPr>
          <w:noProof/>
          <w:sz w:val="28"/>
          <w:szCs w:val="28"/>
          <w:lang w:val="es-ES"/>
        </w:rPr>
        <w:t xml:space="preserve"> </w:t>
      </w:r>
      <w:r w:rsidR="00810CB1" w:rsidRPr="002C572F">
        <w:rPr>
          <w:b/>
          <w:i/>
          <w:noProof/>
          <w:sz w:val="28"/>
          <w:szCs w:val="28"/>
          <w:lang w:val="es-ES"/>
        </w:rPr>
        <w:t>(i)</w:t>
      </w:r>
      <w:r w:rsidRPr="002C572F">
        <w:rPr>
          <w:noProof/>
          <w:sz w:val="28"/>
          <w:szCs w:val="28"/>
          <w:lang w:val="es-ES"/>
        </w:rPr>
        <w:t xml:space="preserve"> </w:t>
      </w:r>
      <w:r w:rsidRPr="002C572F">
        <w:rPr>
          <w:b/>
          <w:i/>
          <w:noProof/>
          <w:sz w:val="28"/>
          <w:szCs w:val="28"/>
          <w:lang w:val="es-ES"/>
        </w:rPr>
        <w:t>2.862,423</w:t>
      </w:r>
      <w:r w:rsidRPr="002C572F">
        <w:rPr>
          <w:noProof/>
          <w:sz w:val="28"/>
          <w:szCs w:val="28"/>
          <w:lang w:val="es-ES"/>
        </w:rPr>
        <w:t xml:space="preserve"> </w:t>
      </w:r>
      <w:r w:rsidRPr="002C572F">
        <w:rPr>
          <w:b/>
          <w:i/>
          <w:noProof/>
          <w:sz w:val="28"/>
          <w:szCs w:val="28"/>
          <w:lang w:val="es-ES"/>
        </w:rPr>
        <w:t>tỷ đồng</w:t>
      </w:r>
      <w:r w:rsidRPr="002C572F">
        <w:rPr>
          <w:noProof/>
          <w:sz w:val="28"/>
          <w:szCs w:val="28"/>
          <w:lang w:val="es-ES"/>
        </w:rPr>
        <w:t xml:space="preserve"> vốn kế hoạch đầu tư công năm 2024 chưa phân bổ của các bộ, cơ quan trung ương và địa phương và </w:t>
      </w:r>
      <w:r w:rsidR="00810CB1" w:rsidRPr="002C572F">
        <w:rPr>
          <w:b/>
          <w:i/>
          <w:noProof/>
          <w:sz w:val="28"/>
          <w:szCs w:val="28"/>
          <w:lang w:val="es-ES"/>
        </w:rPr>
        <w:t>(ii)</w:t>
      </w:r>
      <w:r w:rsidR="00810CB1" w:rsidRPr="002C572F">
        <w:rPr>
          <w:noProof/>
          <w:sz w:val="28"/>
          <w:szCs w:val="28"/>
          <w:lang w:val="es-ES"/>
        </w:rPr>
        <w:t xml:space="preserve"> </w:t>
      </w:r>
      <w:r w:rsidRPr="002C572F">
        <w:rPr>
          <w:b/>
          <w:i/>
          <w:noProof/>
          <w:sz w:val="28"/>
          <w:szCs w:val="28"/>
          <w:lang w:val="es-ES"/>
        </w:rPr>
        <w:t>4.451,130 tỷ đồng</w:t>
      </w:r>
      <w:r w:rsidR="00810CB1" w:rsidRPr="002C572F">
        <w:rPr>
          <w:b/>
          <w:i/>
          <w:noProof/>
          <w:sz w:val="28"/>
          <w:szCs w:val="28"/>
          <w:lang w:val="es-ES"/>
        </w:rPr>
        <w:t xml:space="preserve"> </w:t>
      </w:r>
      <w:r w:rsidRPr="002C572F">
        <w:rPr>
          <w:noProof/>
          <w:sz w:val="28"/>
          <w:szCs w:val="28"/>
          <w:lang w:val="es-ES"/>
        </w:rPr>
        <w:t>vốn kế hoạch đầu tư công</w:t>
      </w:r>
      <w:r w:rsidR="00810CB1" w:rsidRPr="002C572F">
        <w:rPr>
          <w:noProof/>
          <w:sz w:val="28"/>
          <w:szCs w:val="28"/>
          <w:lang w:val="es-ES"/>
        </w:rPr>
        <w:t xml:space="preserve"> năm 2024</w:t>
      </w:r>
      <w:r w:rsidRPr="002C572F">
        <w:rPr>
          <w:noProof/>
          <w:sz w:val="28"/>
          <w:szCs w:val="28"/>
          <w:lang w:val="es-ES"/>
        </w:rPr>
        <w:t xml:space="preserve"> đã được phân bổ nhưng các bộ,</w:t>
      </w:r>
      <w:r w:rsidR="00810CB1" w:rsidRPr="002C572F">
        <w:rPr>
          <w:noProof/>
          <w:sz w:val="28"/>
          <w:szCs w:val="28"/>
          <w:lang w:val="es-ES"/>
        </w:rPr>
        <w:t xml:space="preserve"> cơ quan, </w:t>
      </w:r>
      <w:r w:rsidRPr="002C572F">
        <w:rPr>
          <w:noProof/>
          <w:sz w:val="28"/>
          <w:szCs w:val="28"/>
          <w:lang w:val="es-ES"/>
        </w:rPr>
        <w:t>địa phương không có nhu cầu sử dụng trong năm 2024 và đề xuất “</w:t>
      </w:r>
      <w:r w:rsidRPr="002C572F">
        <w:rPr>
          <w:i/>
          <w:noProof/>
          <w:sz w:val="28"/>
          <w:szCs w:val="28"/>
          <w:lang w:val="es-ES"/>
        </w:rPr>
        <w:t>trả lại vốn</w:t>
      </w:r>
      <w:r w:rsidRPr="002C572F">
        <w:rPr>
          <w:noProof/>
          <w:sz w:val="28"/>
          <w:szCs w:val="28"/>
          <w:lang w:val="es-ES"/>
        </w:rPr>
        <w:t>”</w:t>
      </w:r>
      <w:r w:rsidR="00810CB1" w:rsidRPr="002C572F">
        <w:rPr>
          <w:rStyle w:val="FootnoteReference"/>
          <w:noProof/>
          <w:sz w:val="28"/>
          <w:szCs w:val="28"/>
          <w:lang w:val="es-ES"/>
        </w:rPr>
        <w:footnoteReference w:id="4"/>
      </w:r>
      <w:r w:rsidR="003966FB" w:rsidRPr="002C572F">
        <w:rPr>
          <w:noProof/>
          <w:sz w:val="28"/>
          <w:szCs w:val="28"/>
          <w:lang w:val="es-ES"/>
        </w:rPr>
        <w:t xml:space="preserve">); </w:t>
      </w:r>
      <w:r w:rsidR="003966FB" w:rsidRPr="002C572F">
        <w:rPr>
          <w:b/>
          <w:noProof/>
          <w:sz w:val="28"/>
          <w:szCs w:val="28"/>
          <w:lang w:val="es-ES"/>
        </w:rPr>
        <w:t>(2)</w:t>
      </w:r>
      <w:r w:rsidR="003966FB" w:rsidRPr="002C572F">
        <w:rPr>
          <w:noProof/>
          <w:sz w:val="28"/>
          <w:szCs w:val="28"/>
          <w:lang w:val="es-ES"/>
        </w:rPr>
        <w:t xml:space="preserve"> </w:t>
      </w:r>
      <w:r w:rsidR="00810CB1" w:rsidRPr="002C572F">
        <w:rPr>
          <w:noProof/>
          <w:sz w:val="28"/>
          <w:szCs w:val="28"/>
          <w:lang w:val="es-ES"/>
        </w:rPr>
        <w:t xml:space="preserve">điều chỉnh giảm </w:t>
      </w:r>
      <w:r w:rsidR="003966FB" w:rsidRPr="002C572F">
        <w:rPr>
          <w:b/>
          <w:sz w:val="28"/>
          <w:szCs w:val="28"/>
          <w:lang w:val="es-ES"/>
        </w:rPr>
        <w:t xml:space="preserve">1.133,313 tỷ đồng </w:t>
      </w:r>
      <w:r w:rsidRPr="002C572F">
        <w:rPr>
          <w:sz w:val="28"/>
          <w:szCs w:val="28"/>
        </w:rPr>
        <w:t xml:space="preserve">vốn nước ngoài </w:t>
      </w:r>
      <w:r w:rsidRPr="002C572F">
        <w:rPr>
          <w:bCs/>
          <w:iCs/>
          <w:noProof/>
          <w:sz w:val="28"/>
          <w:szCs w:val="28"/>
          <w:lang w:val="nl-NL"/>
        </w:rPr>
        <w:t xml:space="preserve">của </w:t>
      </w:r>
      <w:r w:rsidRPr="002C572F">
        <w:rPr>
          <w:sz w:val="28"/>
          <w:szCs w:val="28"/>
          <w:lang w:val="es-ES"/>
        </w:rPr>
        <w:t xml:space="preserve">04 bộ, địa phương để bổ sung tương ứng </w:t>
      </w:r>
      <w:r w:rsidRPr="002C572F">
        <w:rPr>
          <w:sz w:val="28"/>
          <w:szCs w:val="28"/>
          <w:lang w:val="pt-BR"/>
        </w:rPr>
        <w:t xml:space="preserve">cho </w:t>
      </w:r>
      <w:r w:rsidRPr="002C572F">
        <w:rPr>
          <w:bCs/>
          <w:iCs/>
          <w:noProof/>
          <w:sz w:val="28"/>
          <w:szCs w:val="28"/>
          <w:lang w:val="es-ES"/>
        </w:rPr>
        <w:t>Bộ Y tế và 1</w:t>
      </w:r>
      <w:r w:rsidR="006D5121" w:rsidRPr="002C572F">
        <w:rPr>
          <w:bCs/>
          <w:iCs/>
          <w:noProof/>
          <w:sz w:val="28"/>
          <w:szCs w:val="28"/>
          <w:lang w:val="es-ES"/>
        </w:rPr>
        <w:t>3</w:t>
      </w:r>
      <w:r w:rsidRPr="002C572F">
        <w:rPr>
          <w:bCs/>
          <w:iCs/>
          <w:noProof/>
          <w:sz w:val="28"/>
          <w:szCs w:val="28"/>
          <w:lang w:val="es-ES"/>
        </w:rPr>
        <w:t xml:space="preserve"> địa phương.</w:t>
      </w:r>
    </w:p>
    <w:p w:rsidR="003966FB" w:rsidRPr="002C572F" w:rsidRDefault="003966FB" w:rsidP="00BD0BE0">
      <w:pPr>
        <w:widowControl w:val="0"/>
        <w:pBdr>
          <w:bottom w:val="single" w:sz="4" w:space="31" w:color="FFFFFF"/>
        </w:pBdr>
        <w:spacing w:before="60" w:after="60" w:line="360" w:lineRule="exact"/>
        <w:ind w:firstLine="720"/>
        <w:jc w:val="both"/>
        <w:rPr>
          <w:noProof/>
          <w:sz w:val="28"/>
          <w:szCs w:val="28"/>
          <w:lang w:val="es-ES"/>
        </w:rPr>
      </w:pPr>
      <w:r w:rsidRPr="002C572F">
        <w:rPr>
          <w:spacing w:val="-2"/>
          <w:sz w:val="28"/>
          <w:szCs w:val="28"/>
        </w:rPr>
        <w:t xml:space="preserve">Theo Tờ trình của Chính phủ, nhu cầu các bộ, cơ quan trung ương và địa phương đề xuất bổ sung kế hoạch vốn đầu tư công nguồn NSTW trong nước năm 2024 là </w:t>
      </w:r>
      <w:r w:rsidRPr="002C572F">
        <w:rPr>
          <w:b/>
          <w:spacing w:val="-2"/>
          <w:sz w:val="28"/>
          <w:szCs w:val="28"/>
        </w:rPr>
        <w:t>22.389,467 tỷ đồng</w:t>
      </w:r>
      <w:r w:rsidRPr="002C572F">
        <w:rPr>
          <w:spacing w:val="-2"/>
          <w:sz w:val="28"/>
          <w:szCs w:val="28"/>
        </w:rPr>
        <w:t xml:space="preserve">; số Chính phủ trình UBTVQH xem xét, quyết định là </w:t>
      </w:r>
      <w:r w:rsidRPr="002C572F">
        <w:rPr>
          <w:b/>
          <w:bCs/>
          <w:sz w:val="28"/>
          <w:szCs w:val="32"/>
          <w:lang w:val="es-ES"/>
        </w:rPr>
        <w:t>7.313,553</w:t>
      </w:r>
      <w:r w:rsidRPr="002C572F">
        <w:rPr>
          <w:b/>
          <w:bCs/>
          <w:szCs w:val="28"/>
          <w:lang w:val="es-ES"/>
        </w:rPr>
        <w:t xml:space="preserve"> </w:t>
      </w:r>
      <w:r w:rsidRPr="002C572F">
        <w:rPr>
          <w:b/>
          <w:noProof/>
          <w:sz w:val="28"/>
          <w:szCs w:val="28"/>
          <w:lang w:val="es-ES"/>
        </w:rPr>
        <w:t>tỷ đồng</w:t>
      </w:r>
      <w:r w:rsidRPr="002C572F">
        <w:rPr>
          <w:noProof/>
          <w:sz w:val="28"/>
          <w:szCs w:val="28"/>
          <w:lang w:val="es-ES"/>
        </w:rPr>
        <w:t xml:space="preserve">, đáp ứng 1/3 nhu cầu đề xuất bổ sung của các đơn vị. Việc xem </w:t>
      </w:r>
      <w:r w:rsidRPr="002C572F">
        <w:rPr>
          <w:noProof/>
          <w:sz w:val="28"/>
          <w:szCs w:val="28"/>
          <w:lang w:val="es-ES"/>
        </w:rPr>
        <w:lastRenderedPageBreak/>
        <w:t>xét bổ sung theo nguyên tắ</w:t>
      </w:r>
      <w:r w:rsidR="00043878" w:rsidRPr="002C572F">
        <w:rPr>
          <w:noProof/>
          <w:sz w:val="28"/>
          <w:szCs w:val="28"/>
          <w:lang w:val="es-ES"/>
        </w:rPr>
        <w:t>c chỉ bố trí vốn cho các nhiệm vụ, dự án đủ điều kiện và phải thực hiện, giải ngân ngay khi có vốn.</w:t>
      </w:r>
    </w:p>
    <w:p w:rsidR="00043878" w:rsidRPr="002C572F" w:rsidRDefault="00043878" w:rsidP="00BD0BE0">
      <w:pPr>
        <w:widowControl w:val="0"/>
        <w:pBdr>
          <w:bottom w:val="single" w:sz="4" w:space="31" w:color="FFFFFF"/>
        </w:pBdr>
        <w:spacing w:before="60" w:after="60" w:line="360" w:lineRule="exact"/>
        <w:ind w:firstLine="720"/>
        <w:jc w:val="both"/>
        <w:rPr>
          <w:spacing w:val="-2"/>
          <w:sz w:val="28"/>
          <w:szCs w:val="28"/>
        </w:rPr>
      </w:pPr>
      <w:r w:rsidRPr="002C572F">
        <w:rPr>
          <w:noProof/>
          <w:sz w:val="28"/>
          <w:szCs w:val="28"/>
          <w:lang w:val="es-ES"/>
        </w:rPr>
        <w:t xml:space="preserve">Về danh mục dự án </w:t>
      </w:r>
      <w:r w:rsidR="00437D69" w:rsidRPr="002C572F">
        <w:rPr>
          <w:spacing w:val="-2"/>
          <w:sz w:val="28"/>
          <w:szCs w:val="28"/>
        </w:rPr>
        <w:t>bổ sung vốn</w:t>
      </w:r>
      <w:r w:rsidRPr="002C572F">
        <w:rPr>
          <w:noProof/>
          <w:sz w:val="28"/>
          <w:szCs w:val="28"/>
          <w:lang w:val="es-ES"/>
        </w:rPr>
        <w:t xml:space="preserve">: </w:t>
      </w:r>
      <w:r w:rsidR="003C2308" w:rsidRPr="002C572F">
        <w:rPr>
          <w:spacing w:val="-2"/>
          <w:sz w:val="28"/>
          <w:szCs w:val="28"/>
        </w:rPr>
        <w:t xml:space="preserve">theo </w:t>
      </w:r>
      <w:r w:rsidR="00437D69" w:rsidRPr="002C572F">
        <w:rPr>
          <w:spacing w:val="-2"/>
          <w:sz w:val="28"/>
          <w:szCs w:val="28"/>
        </w:rPr>
        <w:t xml:space="preserve">nguyên tắc nêu tại </w:t>
      </w:r>
      <w:r w:rsidR="003C2308" w:rsidRPr="002C572F">
        <w:rPr>
          <w:spacing w:val="-2"/>
          <w:sz w:val="28"/>
          <w:szCs w:val="28"/>
        </w:rPr>
        <w:t>Tờ trình</w:t>
      </w:r>
      <w:r w:rsidR="00437D69" w:rsidRPr="002C572F">
        <w:rPr>
          <w:spacing w:val="-2"/>
          <w:sz w:val="28"/>
          <w:szCs w:val="28"/>
        </w:rPr>
        <w:t>,</w:t>
      </w:r>
      <w:r w:rsidR="003C2308" w:rsidRPr="002C572F">
        <w:rPr>
          <w:spacing w:val="-2"/>
          <w:sz w:val="28"/>
          <w:szCs w:val="28"/>
        </w:rPr>
        <w:t xml:space="preserve"> Chính phủ</w:t>
      </w:r>
      <w:r w:rsidRPr="002C572F">
        <w:rPr>
          <w:spacing w:val="-2"/>
          <w:sz w:val="28"/>
          <w:szCs w:val="28"/>
        </w:rPr>
        <w:t xml:space="preserve"> </w:t>
      </w:r>
      <w:r w:rsidR="00437D69" w:rsidRPr="002C572F">
        <w:rPr>
          <w:spacing w:val="-2"/>
          <w:sz w:val="28"/>
          <w:szCs w:val="28"/>
        </w:rPr>
        <w:t>đề xuất</w:t>
      </w:r>
      <w:r w:rsidR="003C2308" w:rsidRPr="002C572F">
        <w:rPr>
          <w:spacing w:val="-2"/>
          <w:sz w:val="28"/>
          <w:szCs w:val="28"/>
        </w:rPr>
        <w:t xml:space="preserve"> các dự án đã có trong kế hoạch đầu tư công trung hạn giai đoạn 2021-2025, một số dự án đã được bố trí vốn kế hoạch năm 2024</w:t>
      </w:r>
      <w:r w:rsidR="003966FB" w:rsidRPr="002C572F">
        <w:rPr>
          <w:spacing w:val="-2"/>
          <w:sz w:val="28"/>
          <w:szCs w:val="28"/>
        </w:rPr>
        <w:t xml:space="preserve"> có khả năng giải ngân cao hơn số vốn đã được bố trí; </w:t>
      </w:r>
      <w:r w:rsidR="003C2308" w:rsidRPr="002C572F">
        <w:rPr>
          <w:spacing w:val="-2"/>
          <w:sz w:val="28"/>
          <w:szCs w:val="28"/>
        </w:rPr>
        <w:t>một số dự án chưa được bố trí vốn kế hoạch đầ</w:t>
      </w:r>
      <w:r w:rsidR="003966FB" w:rsidRPr="002C572F">
        <w:rPr>
          <w:spacing w:val="-2"/>
          <w:sz w:val="28"/>
          <w:szCs w:val="28"/>
        </w:rPr>
        <w:t xml:space="preserve">u tư công năm 2024 nhưng có khả năng thực hiện và giải ngân, </w:t>
      </w:r>
      <w:r w:rsidR="003C2308" w:rsidRPr="002C572F">
        <w:rPr>
          <w:spacing w:val="-2"/>
          <w:sz w:val="28"/>
          <w:szCs w:val="28"/>
        </w:rPr>
        <w:t>nay được đề xuất</w:t>
      </w:r>
      <w:r w:rsidRPr="002C572F">
        <w:rPr>
          <w:spacing w:val="-2"/>
          <w:sz w:val="28"/>
          <w:szCs w:val="28"/>
        </w:rPr>
        <w:t xml:space="preserve"> bổ sung vốn</w:t>
      </w:r>
      <w:r w:rsidR="003C2308" w:rsidRPr="002C572F">
        <w:rPr>
          <w:spacing w:val="-2"/>
          <w:sz w:val="28"/>
          <w:szCs w:val="28"/>
        </w:rPr>
        <w:t xml:space="preserve"> để thực hiện</w:t>
      </w:r>
      <w:r w:rsidRPr="002C572F">
        <w:rPr>
          <w:spacing w:val="-2"/>
          <w:sz w:val="28"/>
          <w:szCs w:val="28"/>
        </w:rPr>
        <w:t xml:space="preserve"> </w:t>
      </w:r>
      <w:r w:rsidR="003C2308" w:rsidRPr="002C572F">
        <w:rPr>
          <w:spacing w:val="-2"/>
          <w:sz w:val="28"/>
          <w:szCs w:val="28"/>
        </w:rPr>
        <w:t xml:space="preserve">dự án. </w:t>
      </w:r>
    </w:p>
    <w:p w:rsidR="00621C70" w:rsidRPr="002C572F" w:rsidRDefault="00043878" w:rsidP="00BD0BE0">
      <w:pPr>
        <w:widowControl w:val="0"/>
        <w:pBdr>
          <w:bottom w:val="single" w:sz="4" w:space="31" w:color="FFFFFF"/>
        </w:pBdr>
        <w:spacing w:before="60" w:after="60" w:line="360" w:lineRule="exact"/>
        <w:ind w:firstLine="720"/>
        <w:jc w:val="both"/>
        <w:rPr>
          <w:sz w:val="28"/>
          <w:szCs w:val="28"/>
        </w:rPr>
      </w:pPr>
      <w:r w:rsidRPr="002C572F">
        <w:rPr>
          <w:spacing w:val="-2"/>
          <w:sz w:val="28"/>
          <w:szCs w:val="28"/>
        </w:rPr>
        <w:t xml:space="preserve">Căn cứ nguyên tắc, số liệu báo cáo nêu trên, Ủy ban TCNS </w:t>
      </w:r>
      <w:r w:rsidR="003C2308" w:rsidRPr="002C572F">
        <w:rPr>
          <w:spacing w:val="-2"/>
          <w:sz w:val="28"/>
          <w:szCs w:val="28"/>
        </w:rPr>
        <w:t>cơ bản nhất trí với đề xuất của Chính phủ. Đồng thời, đề nghị Chính phủ tiếp tục đôn đốc, chỉ đạo các bộ, ngành, địa phương rà soát, bố trí vốn đúng quy định và phù hợp với khả</w:t>
      </w:r>
      <w:r w:rsidR="003C2308" w:rsidRPr="002C572F">
        <w:rPr>
          <w:sz w:val="28"/>
          <w:szCs w:val="28"/>
        </w:rPr>
        <w:t xml:space="preserve"> năng thực hiện/ giải ngân dự án, bảo đảm sử dụng nguồn vốn tiết kiệm, hiệu quả.</w:t>
      </w:r>
    </w:p>
    <w:p w:rsidR="00043878" w:rsidRPr="002C572F" w:rsidRDefault="00043878" w:rsidP="00BD0BE0">
      <w:pPr>
        <w:widowControl w:val="0"/>
        <w:pBdr>
          <w:bottom w:val="single" w:sz="4" w:space="31" w:color="FFFFFF"/>
        </w:pBdr>
        <w:spacing w:before="60" w:after="60" w:line="360" w:lineRule="exact"/>
        <w:ind w:firstLine="720"/>
        <w:jc w:val="both"/>
        <w:rPr>
          <w:sz w:val="28"/>
          <w:szCs w:val="28"/>
        </w:rPr>
      </w:pPr>
      <w:r w:rsidRPr="002C572F">
        <w:rPr>
          <w:sz w:val="28"/>
          <w:szCs w:val="28"/>
        </w:rPr>
        <w:t>Ngoài ra, số liệu bố trí vốn cho các dự án tại các phụ lục kèm theo Tờ trình của Chính phủ cũng cho thấy, một số dự án đã được quyết định đầu tư từ năm 2017, 2018, được giao KHĐTCTH giai đoạn 2021-2025, nhưng năm 2024 không được phân bổ vốn để thực hiện</w:t>
      </w:r>
      <w:r w:rsidRPr="002C572F">
        <w:rPr>
          <w:rStyle w:val="FootnoteReference"/>
          <w:sz w:val="28"/>
          <w:szCs w:val="28"/>
        </w:rPr>
        <w:footnoteReference w:id="5"/>
      </w:r>
      <w:r w:rsidRPr="002C572F">
        <w:rPr>
          <w:sz w:val="28"/>
          <w:szCs w:val="28"/>
        </w:rPr>
        <w:t xml:space="preserve"> (nay khi rà soát điều chỉnh mới được đề nghị bổ sung thêm), điều này cho thấy, công tác phân bổ vốn từ đầu năm của các bộ, cơ quan trung ương và địa phương chưa sát với thực tế. Đề nghị Chính phủ chỉ đạo các đơn vị rà soát, rút kinh nghiệm để bố trí vốn phù hợp</w:t>
      </w:r>
      <w:r w:rsidR="00192B22" w:rsidRPr="002C572F">
        <w:rPr>
          <w:sz w:val="28"/>
          <w:szCs w:val="28"/>
        </w:rPr>
        <w:t xml:space="preserve"> với tiến độ thực hiện, giải ngân và bảo đảm thời gian thực hiện dự án theo quy định của Luật Đầu tư công.</w:t>
      </w:r>
      <w:r w:rsidRPr="002C572F">
        <w:rPr>
          <w:sz w:val="28"/>
          <w:szCs w:val="28"/>
        </w:rPr>
        <w:t xml:space="preserve"> </w:t>
      </w:r>
    </w:p>
    <w:p w:rsidR="00621C70" w:rsidRPr="002C572F" w:rsidRDefault="00892DD8" w:rsidP="00BD0BE0">
      <w:pPr>
        <w:widowControl w:val="0"/>
        <w:pBdr>
          <w:bottom w:val="single" w:sz="4" w:space="31" w:color="FFFFFF"/>
        </w:pBdr>
        <w:spacing w:before="60" w:after="60" w:line="360" w:lineRule="exact"/>
        <w:ind w:firstLine="720"/>
        <w:jc w:val="both"/>
        <w:rPr>
          <w:b/>
          <w:sz w:val="28"/>
          <w:szCs w:val="28"/>
          <w:lang w:val="vi-VN"/>
        </w:rPr>
      </w:pPr>
      <w:r w:rsidRPr="002C572F">
        <w:rPr>
          <w:b/>
          <w:sz w:val="28"/>
          <w:szCs w:val="28"/>
        </w:rPr>
        <w:t>4. Kiến nghị</w:t>
      </w:r>
    </w:p>
    <w:p w:rsidR="00892DD8" w:rsidRPr="002C572F" w:rsidRDefault="00AC242F" w:rsidP="00892DD8">
      <w:pPr>
        <w:widowControl w:val="0"/>
        <w:pBdr>
          <w:bottom w:val="single" w:sz="4" w:space="31" w:color="FFFFFF"/>
        </w:pBdr>
        <w:spacing w:before="60" w:after="60" w:line="360" w:lineRule="exact"/>
        <w:ind w:firstLine="720"/>
        <w:jc w:val="both"/>
        <w:rPr>
          <w:sz w:val="28"/>
          <w:szCs w:val="28"/>
          <w:lang w:val="es-ES"/>
        </w:rPr>
      </w:pPr>
      <w:r w:rsidRPr="002C572F">
        <w:rPr>
          <w:sz w:val="28"/>
          <w:szCs w:val="28"/>
          <w:lang w:val="es-ES"/>
        </w:rPr>
        <w:t xml:space="preserve">Từ những phân tích cụ thể nêu trên, </w:t>
      </w:r>
      <w:r w:rsidR="00892DD8" w:rsidRPr="002C572F">
        <w:rPr>
          <w:sz w:val="28"/>
          <w:szCs w:val="28"/>
          <w:lang w:val="es-ES"/>
        </w:rPr>
        <w:t xml:space="preserve">trên cơ sở ý kiến đa số thành viên </w:t>
      </w:r>
      <w:r w:rsidRPr="002C572F">
        <w:rPr>
          <w:sz w:val="28"/>
          <w:szCs w:val="28"/>
          <w:lang w:val="es-ES"/>
        </w:rPr>
        <w:t>Ủy ban TCNS</w:t>
      </w:r>
      <w:r w:rsidR="00892DD8" w:rsidRPr="002C572F">
        <w:rPr>
          <w:sz w:val="28"/>
          <w:szCs w:val="28"/>
          <w:lang w:val="es-ES"/>
        </w:rPr>
        <w:t>, Ủy ban TCNS</w:t>
      </w:r>
      <w:r w:rsidRPr="002C572F">
        <w:rPr>
          <w:sz w:val="28"/>
          <w:szCs w:val="28"/>
          <w:lang w:val="es-ES"/>
        </w:rPr>
        <w:t xml:space="preserve"> kiến nghị UBTVQH một số vấn đề sau:</w:t>
      </w:r>
    </w:p>
    <w:p w:rsidR="00AC242F" w:rsidRPr="002C572F" w:rsidRDefault="003C2308" w:rsidP="00BD0BE0">
      <w:pPr>
        <w:widowControl w:val="0"/>
        <w:pBdr>
          <w:bottom w:val="single" w:sz="4" w:space="31" w:color="FFFFFF"/>
        </w:pBdr>
        <w:spacing w:before="60" w:after="60" w:line="360" w:lineRule="exact"/>
        <w:ind w:firstLine="720"/>
        <w:jc w:val="both"/>
        <w:rPr>
          <w:b/>
          <w:iCs/>
          <w:noProof/>
          <w:sz w:val="28"/>
          <w:szCs w:val="28"/>
          <w:lang w:val="nl-NL"/>
        </w:rPr>
      </w:pPr>
      <w:r w:rsidRPr="002C572F">
        <w:rPr>
          <w:b/>
          <w:bCs/>
          <w:sz w:val="28"/>
          <w:szCs w:val="28"/>
          <w:lang w:val="es-ES"/>
        </w:rPr>
        <w:t>(</w:t>
      </w:r>
      <w:r w:rsidR="00892DD8" w:rsidRPr="002C572F">
        <w:rPr>
          <w:b/>
          <w:bCs/>
          <w:sz w:val="28"/>
          <w:szCs w:val="28"/>
          <w:lang w:val="es-ES"/>
        </w:rPr>
        <w:t>1</w:t>
      </w:r>
      <w:r w:rsidRPr="002C572F">
        <w:rPr>
          <w:b/>
          <w:bCs/>
          <w:sz w:val="28"/>
          <w:szCs w:val="28"/>
          <w:lang w:val="es-ES"/>
        </w:rPr>
        <w:t>)</w:t>
      </w:r>
      <w:r w:rsidR="00AC242F" w:rsidRPr="002C572F">
        <w:rPr>
          <w:b/>
          <w:bCs/>
          <w:sz w:val="28"/>
          <w:szCs w:val="28"/>
          <w:lang w:val="es-ES"/>
        </w:rPr>
        <w:t>.</w:t>
      </w:r>
      <w:r w:rsidR="00AC242F" w:rsidRPr="002C572F">
        <w:rPr>
          <w:sz w:val="28"/>
          <w:szCs w:val="28"/>
          <w:lang w:val="es-ES"/>
        </w:rPr>
        <w:t xml:space="preserve"> </w:t>
      </w:r>
      <w:bookmarkStart w:id="0" w:name="_Hlk109678146"/>
      <w:r w:rsidR="00AC242F" w:rsidRPr="002C572F">
        <w:rPr>
          <w:iCs/>
          <w:noProof/>
          <w:sz w:val="28"/>
          <w:szCs w:val="28"/>
          <w:lang w:val="es-ES"/>
        </w:rPr>
        <w:t xml:space="preserve">Thống nhất với đề xuất của Chính phủ </w:t>
      </w:r>
      <w:r w:rsidR="00AC242F" w:rsidRPr="002C572F">
        <w:rPr>
          <w:sz w:val="28"/>
          <w:szCs w:val="28"/>
          <w:lang w:val="es-ES"/>
        </w:rPr>
        <w:t>về đ</w:t>
      </w:r>
      <w:r w:rsidR="00AC242F" w:rsidRPr="002C572F">
        <w:rPr>
          <w:iCs/>
          <w:noProof/>
          <w:sz w:val="28"/>
          <w:szCs w:val="28"/>
          <w:lang w:val="es-ES"/>
        </w:rPr>
        <w:t>iều chỉnh</w:t>
      </w:r>
      <w:r w:rsidR="00BE348D" w:rsidRPr="002C572F">
        <w:rPr>
          <w:bCs/>
          <w:sz w:val="28"/>
          <w:szCs w:val="28"/>
          <w:lang w:val="pt-BR"/>
        </w:rPr>
        <w:t xml:space="preserve"> dự toán và</w:t>
      </w:r>
      <w:r w:rsidR="00892DD8" w:rsidRPr="002C572F">
        <w:rPr>
          <w:bCs/>
          <w:sz w:val="28"/>
          <w:szCs w:val="28"/>
          <w:lang w:val="pt-BR"/>
        </w:rPr>
        <w:t xml:space="preserve"> kế hoạch đầu tư công nguồn ngân sách trung ương năm 2024, tổng số vốn là </w:t>
      </w:r>
      <w:r w:rsidR="00892DD8" w:rsidRPr="002C572F">
        <w:rPr>
          <w:b/>
          <w:bCs/>
          <w:sz w:val="28"/>
          <w:szCs w:val="28"/>
          <w:lang w:val="pt-BR"/>
        </w:rPr>
        <w:t>8.446,866 tỷ đồng</w:t>
      </w:r>
      <w:r w:rsidR="00892DD8" w:rsidRPr="002C572F">
        <w:rPr>
          <w:bCs/>
          <w:sz w:val="28"/>
          <w:szCs w:val="28"/>
          <w:lang w:val="pt-BR"/>
        </w:rPr>
        <w:t>, bao gồm</w:t>
      </w:r>
      <w:r w:rsidR="00BE348D" w:rsidRPr="002C572F">
        <w:rPr>
          <w:bCs/>
          <w:sz w:val="28"/>
          <w:szCs w:val="28"/>
          <w:lang w:val="pt-BR"/>
        </w:rPr>
        <w:t>:</w:t>
      </w:r>
      <w:r w:rsidR="00892DD8" w:rsidRPr="002C572F">
        <w:rPr>
          <w:bCs/>
          <w:sz w:val="28"/>
          <w:szCs w:val="28"/>
          <w:lang w:val="pt-BR"/>
        </w:rPr>
        <w:t xml:space="preserve"> </w:t>
      </w:r>
      <w:r w:rsidR="00892DD8" w:rsidRPr="002C572F">
        <w:rPr>
          <w:b/>
          <w:bCs/>
          <w:sz w:val="28"/>
          <w:szCs w:val="28"/>
          <w:lang w:val="pt-BR"/>
        </w:rPr>
        <w:t>(i)</w:t>
      </w:r>
      <w:r w:rsidR="00892DD8" w:rsidRPr="002C572F">
        <w:rPr>
          <w:bCs/>
          <w:sz w:val="28"/>
          <w:szCs w:val="28"/>
          <w:lang w:val="pt-BR"/>
        </w:rPr>
        <w:t xml:space="preserve"> </w:t>
      </w:r>
      <w:r w:rsidR="00BE348D" w:rsidRPr="002C572F">
        <w:rPr>
          <w:sz w:val="28"/>
          <w:szCs w:val="28"/>
        </w:rPr>
        <w:t>Điều chỉnh giảm</w:t>
      </w:r>
      <w:r w:rsidR="007522E5" w:rsidRPr="002C572F">
        <w:rPr>
          <w:sz w:val="28"/>
          <w:szCs w:val="28"/>
        </w:rPr>
        <w:t xml:space="preserve"> </w:t>
      </w:r>
      <w:r w:rsidR="00892DD8" w:rsidRPr="002C572F">
        <w:rPr>
          <w:b/>
          <w:bCs/>
          <w:sz w:val="28"/>
          <w:szCs w:val="32"/>
          <w:lang w:val="es-ES"/>
        </w:rPr>
        <w:t>7.313,553</w:t>
      </w:r>
      <w:r w:rsidR="00892DD8" w:rsidRPr="002C572F">
        <w:rPr>
          <w:b/>
          <w:bCs/>
          <w:szCs w:val="28"/>
          <w:lang w:val="es-ES"/>
        </w:rPr>
        <w:t xml:space="preserve"> </w:t>
      </w:r>
      <w:r w:rsidR="00892DD8" w:rsidRPr="002C572F">
        <w:rPr>
          <w:b/>
          <w:noProof/>
          <w:sz w:val="28"/>
          <w:szCs w:val="28"/>
          <w:lang w:val="es-ES"/>
        </w:rPr>
        <w:t>tỷ đồng</w:t>
      </w:r>
      <w:r w:rsidR="00892DD8" w:rsidRPr="002C572F">
        <w:rPr>
          <w:noProof/>
          <w:sz w:val="28"/>
          <w:szCs w:val="28"/>
          <w:lang w:val="es-ES"/>
        </w:rPr>
        <w:t xml:space="preserve"> </w:t>
      </w:r>
      <w:r w:rsidR="00892DD8" w:rsidRPr="002C572F">
        <w:rPr>
          <w:sz w:val="28"/>
          <w:szCs w:val="28"/>
        </w:rPr>
        <w:t xml:space="preserve">vốn trong nước  </w:t>
      </w:r>
      <w:r w:rsidR="00892DD8" w:rsidRPr="002C572F">
        <w:rPr>
          <w:noProof/>
          <w:sz w:val="28"/>
          <w:szCs w:val="28"/>
          <w:lang w:val="es-ES"/>
        </w:rPr>
        <w:t xml:space="preserve">của 20 bộ, cơ quan trung ương và địa phương để bổ sung tương ứng cho </w:t>
      </w:r>
      <w:r w:rsidR="00892DD8" w:rsidRPr="002C572F">
        <w:rPr>
          <w:bCs/>
          <w:iCs/>
          <w:noProof/>
          <w:sz w:val="28"/>
          <w:szCs w:val="28"/>
          <w:lang w:val="es-ES"/>
        </w:rPr>
        <w:t>12 bộ, cơ quan trung ương và địa phương</w:t>
      </w:r>
      <w:r w:rsidR="00892DD8" w:rsidRPr="002C572F">
        <w:rPr>
          <w:noProof/>
          <w:sz w:val="28"/>
          <w:szCs w:val="28"/>
          <w:lang w:val="es-ES"/>
        </w:rPr>
        <w:t xml:space="preserve">; </w:t>
      </w:r>
      <w:r w:rsidR="00892DD8" w:rsidRPr="002C572F">
        <w:rPr>
          <w:b/>
          <w:noProof/>
          <w:sz w:val="28"/>
          <w:szCs w:val="28"/>
          <w:lang w:val="es-ES"/>
        </w:rPr>
        <w:t>(ii)</w:t>
      </w:r>
      <w:r w:rsidR="00892DD8" w:rsidRPr="002C572F">
        <w:rPr>
          <w:noProof/>
          <w:sz w:val="28"/>
          <w:szCs w:val="28"/>
          <w:lang w:val="es-ES"/>
        </w:rPr>
        <w:t xml:space="preserve"> </w:t>
      </w:r>
      <w:r w:rsidR="00BE348D" w:rsidRPr="002C572F">
        <w:rPr>
          <w:sz w:val="28"/>
          <w:szCs w:val="28"/>
        </w:rPr>
        <w:t xml:space="preserve">Điều chỉnh giảm </w:t>
      </w:r>
      <w:r w:rsidR="00892DD8" w:rsidRPr="002C572F">
        <w:rPr>
          <w:b/>
          <w:sz w:val="28"/>
          <w:szCs w:val="28"/>
          <w:lang w:val="es-ES"/>
        </w:rPr>
        <w:t>1.133,313 tỷ đồng</w:t>
      </w:r>
      <w:r w:rsidR="00892DD8" w:rsidRPr="002C572F">
        <w:rPr>
          <w:sz w:val="28"/>
          <w:szCs w:val="28"/>
          <w:lang w:val="es-ES"/>
        </w:rPr>
        <w:t xml:space="preserve"> </w:t>
      </w:r>
      <w:r w:rsidR="00892DD8" w:rsidRPr="002C572F">
        <w:rPr>
          <w:sz w:val="28"/>
          <w:szCs w:val="28"/>
        </w:rPr>
        <w:t xml:space="preserve">vốn nước ngoài </w:t>
      </w:r>
      <w:r w:rsidR="00892DD8" w:rsidRPr="002C572F">
        <w:rPr>
          <w:bCs/>
          <w:iCs/>
          <w:noProof/>
          <w:sz w:val="28"/>
          <w:szCs w:val="28"/>
          <w:lang w:val="nl-NL"/>
        </w:rPr>
        <w:t xml:space="preserve">của </w:t>
      </w:r>
      <w:r w:rsidR="00892DD8" w:rsidRPr="002C572F">
        <w:rPr>
          <w:sz w:val="28"/>
          <w:szCs w:val="28"/>
          <w:lang w:val="es-ES"/>
        </w:rPr>
        <w:t xml:space="preserve">04 bộ, địa phương để bổ sung tương ứng </w:t>
      </w:r>
      <w:r w:rsidR="00892DD8" w:rsidRPr="002C572F">
        <w:rPr>
          <w:sz w:val="28"/>
          <w:szCs w:val="28"/>
          <w:lang w:val="pt-BR"/>
        </w:rPr>
        <w:t xml:space="preserve">cho </w:t>
      </w:r>
      <w:r w:rsidR="00892DD8" w:rsidRPr="002C572F">
        <w:rPr>
          <w:bCs/>
          <w:iCs/>
          <w:noProof/>
          <w:sz w:val="28"/>
          <w:szCs w:val="28"/>
          <w:lang w:val="es-ES"/>
        </w:rPr>
        <w:t>Bộ Y tế và 1</w:t>
      </w:r>
      <w:r w:rsidR="00764794" w:rsidRPr="002C572F">
        <w:rPr>
          <w:bCs/>
          <w:iCs/>
          <w:noProof/>
          <w:sz w:val="28"/>
          <w:szCs w:val="28"/>
          <w:lang w:val="es-ES"/>
        </w:rPr>
        <w:t>3</w:t>
      </w:r>
      <w:r w:rsidR="00892DD8" w:rsidRPr="002C572F">
        <w:rPr>
          <w:bCs/>
          <w:iCs/>
          <w:noProof/>
          <w:sz w:val="28"/>
          <w:szCs w:val="28"/>
          <w:lang w:val="es-ES"/>
        </w:rPr>
        <w:t xml:space="preserve"> địa phương.</w:t>
      </w:r>
    </w:p>
    <w:p w:rsidR="00A34506" w:rsidRPr="002C572F" w:rsidRDefault="003C2308" w:rsidP="00A34506">
      <w:pPr>
        <w:widowControl w:val="0"/>
        <w:pBdr>
          <w:bottom w:val="single" w:sz="4" w:space="31" w:color="FFFFFF"/>
        </w:pBdr>
        <w:spacing w:before="60" w:after="60" w:line="360" w:lineRule="exact"/>
        <w:ind w:firstLine="720"/>
        <w:jc w:val="both"/>
        <w:rPr>
          <w:spacing w:val="-2"/>
          <w:sz w:val="28"/>
          <w:szCs w:val="28"/>
        </w:rPr>
      </w:pPr>
      <w:r w:rsidRPr="002C572F">
        <w:rPr>
          <w:b/>
          <w:spacing w:val="-2"/>
          <w:sz w:val="28"/>
          <w:szCs w:val="28"/>
          <w:lang w:val="es-ES"/>
        </w:rPr>
        <w:t>(</w:t>
      </w:r>
      <w:r w:rsidR="00892DD8" w:rsidRPr="002C572F">
        <w:rPr>
          <w:b/>
          <w:spacing w:val="-2"/>
          <w:sz w:val="28"/>
          <w:szCs w:val="28"/>
          <w:lang w:val="es-ES"/>
        </w:rPr>
        <w:t>2</w:t>
      </w:r>
      <w:r w:rsidRPr="002C572F">
        <w:rPr>
          <w:b/>
          <w:spacing w:val="-2"/>
          <w:sz w:val="28"/>
          <w:szCs w:val="28"/>
          <w:lang w:val="es-ES"/>
        </w:rPr>
        <w:t>)</w:t>
      </w:r>
      <w:r w:rsidR="00892DD8" w:rsidRPr="002C572F">
        <w:rPr>
          <w:b/>
          <w:spacing w:val="-2"/>
          <w:sz w:val="28"/>
          <w:szCs w:val="28"/>
          <w:lang w:val="es-ES"/>
        </w:rPr>
        <w:t>.</w:t>
      </w:r>
      <w:r w:rsidR="00892DD8" w:rsidRPr="002C572F">
        <w:rPr>
          <w:spacing w:val="-2"/>
          <w:sz w:val="28"/>
          <w:szCs w:val="28"/>
          <w:lang w:val="es-ES"/>
        </w:rPr>
        <w:t xml:space="preserve"> Đề nghị Chính phủ chỉ đạo các bộ, cơ quan trung ương và địa phương rà soát, việc điều chỉnh, bổ sung kế hoạch vốn NSTW năm 2024 </w:t>
      </w:r>
      <w:r w:rsidR="00892DD8" w:rsidRPr="002C572F">
        <w:rPr>
          <w:bCs/>
          <w:iCs/>
          <w:spacing w:val="-2"/>
          <w:sz w:val="28"/>
          <w:szCs w:val="28"/>
          <w:lang w:val="en-GB"/>
        </w:rPr>
        <w:t xml:space="preserve">phải đảm bảo điều kiện: </w:t>
      </w:r>
      <w:r w:rsidR="00A34506" w:rsidRPr="002C572F">
        <w:rPr>
          <w:b/>
          <w:bCs/>
          <w:iCs/>
          <w:spacing w:val="-2"/>
          <w:sz w:val="28"/>
          <w:szCs w:val="28"/>
          <w:lang w:val="en-GB"/>
        </w:rPr>
        <w:t>(i)</w:t>
      </w:r>
      <w:r w:rsidR="00A34506" w:rsidRPr="002C572F">
        <w:rPr>
          <w:bCs/>
          <w:iCs/>
          <w:spacing w:val="-2"/>
          <w:sz w:val="28"/>
          <w:szCs w:val="28"/>
          <w:lang w:val="en-GB"/>
        </w:rPr>
        <w:t xml:space="preserve"> Dự án đã được giao KHĐTCTH giai đoạn 2021-2025 và đã đủ thủ tục đầu tư, có khả năng hấp thụ, giải ngân vố</w:t>
      </w:r>
      <w:r w:rsidR="007522E5" w:rsidRPr="002C572F">
        <w:rPr>
          <w:bCs/>
          <w:iCs/>
          <w:spacing w:val="-2"/>
          <w:sz w:val="28"/>
          <w:szCs w:val="28"/>
          <w:lang w:val="en-GB"/>
        </w:rPr>
        <w:t>n</w:t>
      </w:r>
      <w:r w:rsidR="00A34506" w:rsidRPr="002C572F">
        <w:rPr>
          <w:bCs/>
          <w:iCs/>
          <w:spacing w:val="-2"/>
          <w:sz w:val="28"/>
          <w:szCs w:val="28"/>
          <w:lang w:val="en-GB"/>
        </w:rPr>
        <w:t xml:space="preserve">; </w:t>
      </w:r>
      <w:r w:rsidR="00A34506" w:rsidRPr="002C572F">
        <w:rPr>
          <w:b/>
          <w:bCs/>
          <w:iCs/>
          <w:spacing w:val="-2"/>
          <w:sz w:val="28"/>
          <w:szCs w:val="28"/>
          <w:lang w:val="en-GB"/>
        </w:rPr>
        <w:t>(ii)</w:t>
      </w:r>
      <w:r w:rsidR="00A34506" w:rsidRPr="002C572F">
        <w:rPr>
          <w:bCs/>
          <w:iCs/>
          <w:spacing w:val="-2"/>
          <w:sz w:val="28"/>
          <w:szCs w:val="28"/>
          <w:lang w:val="en-GB"/>
        </w:rPr>
        <w:t xml:space="preserve"> Tổng mức vốn sau khi được bổ sung của các nhiệm vụ, dự án không vượt quá số vốn KHĐTCTH nguồn NSTW đã được giao cho các nhiệm vụ, dự án; </w:t>
      </w:r>
      <w:r w:rsidR="00A34506" w:rsidRPr="002C572F">
        <w:rPr>
          <w:b/>
          <w:bCs/>
          <w:iCs/>
          <w:spacing w:val="-2"/>
          <w:sz w:val="28"/>
          <w:szCs w:val="28"/>
          <w:lang w:val="en-GB"/>
        </w:rPr>
        <w:t>(iii)</w:t>
      </w:r>
      <w:r w:rsidR="00A34506" w:rsidRPr="002C572F">
        <w:rPr>
          <w:bCs/>
          <w:iCs/>
          <w:spacing w:val="-2"/>
          <w:sz w:val="28"/>
          <w:szCs w:val="28"/>
          <w:lang w:val="en-GB"/>
        </w:rPr>
        <w:t xml:space="preserve"> </w:t>
      </w:r>
      <w:r w:rsidR="00A34506" w:rsidRPr="002C572F">
        <w:rPr>
          <w:spacing w:val="-2"/>
          <w:sz w:val="28"/>
          <w:szCs w:val="28"/>
        </w:rPr>
        <w:t>Chính phủ, các Bộ, cơ quan trung ương và địa phương cam kết giải ngân hết số vốn của Kế hoạch đầu tư công năm 2024 đã được giao và số vốn được bổ sung theo quy định, bảo đảm tiết kiệm, hiệu quả</w:t>
      </w:r>
      <w:r w:rsidR="00EF648B" w:rsidRPr="002C572F">
        <w:rPr>
          <w:spacing w:val="-2"/>
          <w:sz w:val="28"/>
          <w:szCs w:val="28"/>
        </w:rPr>
        <w:t>; (</w:t>
      </w:r>
      <w:r w:rsidR="00EF648B" w:rsidRPr="002C572F">
        <w:rPr>
          <w:b/>
          <w:spacing w:val="-2"/>
          <w:sz w:val="28"/>
          <w:szCs w:val="28"/>
        </w:rPr>
        <w:t>iv</w:t>
      </w:r>
      <w:r w:rsidR="00EF648B" w:rsidRPr="002C572F">
        <w:rPr>
          <w:spacing w:val="-2"/>
          <w:sz w:val="28"/>
          <w:szCs w:val="28"/>
        </w:rPr>
        <w:t xml:space="preserve">) Chịu trách nhiệm về </w:t>
      </w:r>
      <w:r w:rsidR="00EF648B" w:rsidRPr="002C572F">
        <w:rPr>
          <w:spacing w:val="-2"/>
          <w:sz w:val="28"/>
          <w:szCs w:val="28"/>
        </w:rPr>
        <w:lastRenderedPageBreak/>
        <w:t>nội dung, thông tin, số liệu, danh mục dự án và mức vốn bố trí cho từng dự án, nhiệm vụ theo đúng quy định của pháp luật</w:t>
      </w:r>
      <w:r w:rsidR="00A34506" w:rsidRPr="002C572F">
        <w:rPr>
          <w:spacing w:val="-2"/>
          <w:sz w:val="28"/>
          <w:szCs w:val="28"/>
        </w:rPr>
        <w:t>.</w:t>
      </w:r>
    </w:p>
    <w:p w:rsidR="00892DD8" w:rsidRPr="002C572F" w:rsidRDefault="00892DD8" w:rsidP="003C2308">
      <w:pPr>
        <w:widowControl w:val="0"/>
        <w:pBdr>
          <w:bottom w:val="single" w:sz="4" w:space="31" w:color="FFFFFF"/>
        </w:pBdr>
        <w:spacing w:before="60" w:after="60"/>
        <w:ind w:firstLine="720"/>
        <w:jc w:val="both"/>
        <w:rPr>
          <w:spacing w:val="-2"/>
          <w:sz w:val="8"/>
          <w:szCs w:val="28"/>
        </w:rPr>
      </w:pPr>
    </w:p>
    <w:bookmarkEnd w:id="0"/>
    <w:p w:rsidR="00BE348D" w:rsidRPr="002C572F" w:rsidRDefault="00AC242F" w:rsidP="00BE348D">
      <w:pPr>
        <w:widowControl w:val="0"/>
        <w:pBdr>
          <w:bottom w:val="single" w:sz="4" w:space="31" w:color="FFFFFF"/>
        </w:pBdr>
        <w:spacing w:before="60" w:after="60" w:line="360" w:lineRule="exact"/>
        <w:ind w:firstLine="720"/>
        <w:jc w:val="both"/>
        <w:rPr>
          <w:spacing w:val="2"/>
          <w:sz w:val="28"/>
          <w:szCs w:val="28"/>
          <w:lang w:val="es-ES"/>
        </w:rPr>
      </w:pPr>
      <w:r w:rsidRPr="002C572F">
        <w:rPr>
          <w:spacing w:val="2"/>
          <w:sz w:val="28"/>
          <w:szCs w:val="28"/>
          <w:lang w:val="es-ES"/>
        </w:rPr>
        <w:t>Trên đây là Báo cáo thẩm tra</w:t>
      </w:r>
      <w:r w:rsidR="00892DD8" w:rsidRPr="002C572F">
        <w:rPr>
          <w:spacing w:val="2"/>
          <w:sz w:val="28"/>
          <w:szCs w:val="28"/>
          <w:lang w:val="es-ES"/>
        </w:rPr>
        <w:t xml:space="preserve"> Tờ trình của Chính phủ</w:t>
      </w:r>
      <w:r w:rsidRPr="002C572F">
        <w:rPr>
          <w:spacing w:val="2"/>
          <w:sz w:val="28"/>
          <w:szCs w:val="28"/>
          <w:lang w:val="es-ES"/>
        </w:rPr>
        <w:t xml:space="preserve"> về </w:t>
      </w:r>
      <w:r w:rsidR="00892DD8" w:rsidRPr="002C572F">
        <w:rPr>
          <w:rFonts w:eastAsia="Times New Roman"/>
          <w:spacing w:val="2"/>
          <w:sz w:val="28"/>
          <w:szCs w:val="28"/>
        </w:rPr>
        <w:t>tổng hợp tình hình phân bổ, dự kiến điều chỉnh kế hoạch đầu tư công nguồn ngân sách trung ương năm 2024</w:t>
      </w:r>
      <w:r w:rsidRPr="002C572F">
        <w:rPr>
          <w:spacing w:val="2"/>
          <w:sz w:val="28"/>
          <w:szCs w:val="28"/>
          <w:lang w:val="es-ES"/>
        </w:rPr>
        <w:t xml:space="preserve">. </w:t>
      </w:r>
    </w:p>
    <w:p w:rsidR="00BE348D" w:rsidRPr="002C572F" w:rsidRDefault="00BE348D" w:rsidP="00BE348D">
      <w:pPr>
        <w:widowControl w:val="0"/>
        <w:pBdr>
          <w:bottom w:val="single" w:sz="4" w:space="31" w:color="FFFFFF"/>
        </w:pBdr>
        <w:spacing w:before="60" w:after="60" w:line="360" w:lineRule="exact"/>
        <w:ind w:firstLine="720"/>
        <w:jc w:val="both"/>
        <w:rPr>
          <w:i/>
          <w:spacing w:val="2"/>
          <w:sz w:val="28"/>
          <w:szCs w:val="28"/>
          <w:lang w:val="es-ES"/>
        </w:rPr>
      </w:pPr>
      <w:r w:rsidRPr="002C572F">
        <w:rPr>
          <w:i/>
          <w:spacing w:val="2"/>
          <w:sz w:val="28"/>
          <w:szCs w:val="28"/>
          <w:lang w:val="es-ES"/>
        </w:rPr>
        <w:t>(Xin gửi kèm theo Dự thảo thông báo ý kiến Kết luận phiên họp của UBTVQH và Dự thảo Nghị quyết của UBTVQH về nội dung trên).</w:t>
      </w:r>
    </w:p>
    <w:p w:rsidR="00BE348D" w:rsidRPr="002C572F" w:rsidRDefault="00BE348D" w:rsidP="00BE348D">
      <w:pPr>
        <w:widowControl w:val="0"/>
        <w:pBdr>
          <w:bottom w:val="single" w:sz="4" w:space="31" w:color="FFFFFF"/>
        </w:pBdr>
        <w:spacing w:before="60" w:after="60" w:line="360" w:lineRule="exact"/>
        <w:ind w:firstLine="720"/>
        <w:jc w:val="both"/>
        <w:rPr>
          <w:spacing w:val="2"/>
          <w:sz w:val="28"/>
          <w:szCs w:val="28"/>
          <w:lang w:val="es-ES"/>
        </w:rPr>
      </w:pPr>
      <w:r w:rsidRPr="002C572F">
        <w:rPr>
          <w:spacing w:val="2"/>
          <w:sz w:val="28"/>
          <w:szCs w:val="28"/>
          <w:lang w:val="es-ES"/>
        </w:rPr>
        <w:t>Ủy ban TCNS trân trọng báo cáo Ủy ban Thường vụ Quốc hội xem xét, quyết định.</w:t>
      </w:r>
    </w:p>
    <w:tbl>
      <w:tblPr>
        <w:tblW w:w="10134" w:type="dxa"/>
        <w:jc w:val="center"/>
        <w:tblLook w:val="01E0" w:firstRow="1" w:lastRow="1" w:firstColumn="1" w:lastColumn="1" w:noHBand="0" w:noVBand="0"/>
      </w:tblPr>
      <w:tblGrid>
        <w:gridCol w:w="3903"/>
        <w:gridCol w:w="6231"/>
      </w:tblGrid>
      <w:tr w:rsidR="00AC242F" w:rsidRPr="002C572F" w:rsidTr="005A4E8C">
        <w:trPr>
          <w:jc w:val="center"/>
        </w:trPr>
        <w:tc>
          <w:tcPr>
            <w:tcW w:w="3903" w:type="dxa"/>
          </w:tcPr>
          <w:p w:rsidR="00AC242F" w:rsidRPr="002C572F" w:rsidRDefault="00AC242F" w:rsidP="003B359F">
            <w:pPr>
              <w:tabs>
                <w:tab w:val="left" w:pos="6660"/>
              </w:tabs>
              <w:spacing w:before="40" w:after="40"/>
              <w:ind w:firstLine="502"/>
              <w:rPr>
                <w:rFonts w:eastAsia="Times New Roman"/>
                <w:b/>
                <w:i/>
                <w:sz w:val="22"/>
                <w:szCs w:val="22"/>
                <w:lang w:val="vi-VN"/>
              </w:rPr>
            </w:pPr>
            <w:r w:rsidRPr="002C572F">
              <w:rPr>
                <w:rFonts w:eastAsia="Times New Roman"/>
                <w:b/>
                <w:i/>
                <w:sz w:val="22"/>
                <w:szCs w:val="22"/>
                <w:lang w:val="vi-VN"/>
              </w:rPr>
              <w:t>Nơi nhận:</w:t>
            </w:r>
          </w:p>
          <w:p w:rsidR="00AC242F" w:rsidRPr="002C572F" w:rsidRDefault="00AC242F" w:rsidP="003B359F">
            <w:pPr>
              <w:tabs>
                <w:tab w:val="left" w:pos="6660"/>
              </w:tabs>
              <w:spacing w:before="40" w:after="40"/>
              <w:ind w:firstLine="502"/>
              <w:rPr>
                <w:rFonts w:eastAsia="Times New Roman"/>
                <w:sz w:val="22"/>
                <w:szCs w:val="22"/>
                <w:lang w:val="vi-VN"/>
              </w:rPr>
            </w:pPr>
            <w:r w:rsidRPr="002C572F">
              <w:rPr>
                <w:rFonts w:eastAsia="Times New Roman"/>
                <w:sz w:val="22"/>
                <w:szCs w:val="22"/>
                <w:lang w:val="vi-VN"/>
              </w:rPr>
              <w:t>- Như trên;</w:t>
            </w:r>
          </w:p>
          <w:p w:rsidR="00AC242F" w:rsidRPr="002C572F" w:rsidRDefault="00AC242F" w:rsidP="003B359F">
            <w:pPr>
              <w:tabs>
                <w:tab w:val="left" w:pos="6660"/>
              </w:tabs>
              <w:spacing w:before="40" w:after="40"/>
              <w:ind w:firstLine="502"/>
              <w:rPr>
                <w:rFonts w:eastAsia="Times New Roman"/>
                <w:sz w:val="22"/>
                <w:szCs w:val="22"/>
                <w:lang w:val="vi-VN"/>
              </w:rPr>
            </w:pPr>
            <w:r w:rsidRPr="002C572F">
              <w:rPr>
                <w:rFonts w:eastAsia="Times New Roman"/>
                <w:sz w:val="22"/>
                <w:szCs w:val="22"/>
                <w:lang w:val="vi-VN"/>
              </w:rPr>
              <w:t>- TT. Ủy ban TCNS;</w:t>
            </w:r>
          </w:p>
          <w:p w:rsidR="00AC242F" w:rsidRPr="002C572F" w:rsidRDefault="00AC242F" w:rsidP="003B359F">
            <w:pPr>
              <w:tabs>
                <w:tab w:val="left" w:pos="6660"/>
              </w:tabs>
              <w:spacing w:before="40" w:after="40"/>
              <w:ind w:firstLine="502"/>
              <w:rPr>
                <w:rFonts w:eastAsia="Times New Roman"/>
                <w:sz w:val="22"/>
                <w:szCs w:val="22"/>
                <w:lang w:val="fr-FR"/>
              </w:rPr>
            </w:pPr>
            <w:r w:rsidRPr="002C572F">
              <w:rPr>
                <w:rFonts w:eastAsia="Times New Roman"/>
                <w:sz w:val="22"/>
                <w:szCs w:val="22"/>
                <w:lang w:val="fr-FR"/>
              </w:rPr>
              <w:t>- Lưu: HC, TCNS;</w:t>
            </w:r>
          </w:p>
          <w:p w:rsidR="00AC242F" w:rsidRPr="002C572F" w:rsidRDefault="00AC242F" w:rsidP="00A71554">
            <w:pPr>
              <w:tabs>
                <w:tab w:val="left" w:pos="6660"/>
              </w:tabs>
              <w:spacing w:before="40" w:after="40"/>
              <w:ind w:firstLine="502"/>
              <w:rPr>
                <w:rFonts w:eastAsia="Times New Roman"/>
                <w:lang w:val="fr-FR"/>
              </w:rPr>
            </w:pPr>
            <w:r w:rsidRPr="002C572F">
              <w:rPr>
                <w:rFonts w:eastAsia="Times New Roman"/>
                <w:sz w:val="22"/>
                <w:szCs w:val="22"/>
                <w:lang w:val="fr-FR"/>
              </w:rPr>
              <w:t xml:space="preserve">- E-pas: </w:t>
            </w:r>
            <w:r w:rsidR="00437D69" w:rsidRPr="002C572F">
              <w:rPr>
                <w:rFonts w:eastAsia="Times New Roman"/>
                <w:sz w:val="22"/>
                <w:szCs w:val="22"/>
                <w:lang w:val="fr-FR"/>
              </w:rPr>
              <w:t>92351</w:t>
            </w:r>
          </w:p>
        </w:tc>
        <w:tc>
          <w:tcPr>
            <w:tcW w:w="6231" w:type="dxa"/>
          </w:tcPr>
          <w:p w:rsidR="00AC242F" w:rsidRPr="002C572F" w:rsidRDefault="00AC242F" w:rsidP="003B359F">
            <w:pPr>
              <w:tabs>
                <w:tab w:val="left" w:pos="6660"/>
              </w:tabs>
              <w:spacing w:before="40" w:after="40"/>
              <w:jc w:val="center"/>
              <w:rPr>
                <w:rFonts w:eastAsia="Times New Roman"/>
                <w:b/>
                <w:sz w:val="26"/>
                <w:szCs w:val="26"/>
                <w:lang w:val="fr-FR"/>
              </w:rPr>
            </w:pPr>
            <w:r w:rsidRPr="002C572F">
              <w:rPr>
                <w:rFonts w:eastAsia="Times New Roman"/>
                <w:b/>
                <w:sz w:val="26"/>
                <w:szCs w:val="26"/>
                <w:lang w:val="fr-FR"/>
              </w:rPr>
              <w:t>TM. ỦY BAN TÀI CHÍNH, NGÂN SÁCH</w:t>
            </w:r>
          </w:p>
          <w:p w:rsidR="00AC242F" w:rsidRPr="002C572F" w:rsidRDefault="00AC242F" w:rsidP="003B359F">
            <w:pPr>
              <w:tabs>
                <w:tab w:val="left" w:pos="6660"/>
              </w:tabs>
              <w:spacing w:before="40" w:after="40"/>
              <w:jc w:val="center"/>
              <w:rPr>
                <w:rFonts w:eastAsia="Times New Roman"/>
                <w:b/>
                <w:sz w:val="26"/>
                <w:szCs w:val="26"/>
                <w:lang w:val="fr-FR"/>
              </w:rPr>
            </w:pPr>
            <w:r w:rsidRPr="002C572F">
              <w:rPr>
                <w:rFonts w:eastAsia="Times New Roman"/>
                <w:b/>
                <w:sz w:val="26"/>
                <w:szCs w:val="26"/>
                <w:lang w:val="fr-FR"/>
              </w:rPr>
              <w:t>CHỦ NHIỆM</w:t>
            </w:r>
          </w:p>
          <w:p w:rsidR="00F43706" w:rsidRPr="002C572F" w:rsidRDefault="00F43706" w:rsidP="003B359F">
            <w:pPr>
              <w:tabs>
                <w:tab w:val="left" w:pos="6660"/>
              </w:tabs>
              <w:spacing w:before="40" w:after="40"/>
              <w:jc w:val="center"/>
              <w:rPr>
                <w:rFonts w:eastAsia="Times New Roman"/>
                <w:b/>
                <w:sz w:val="26"/>
                <w:szCs w:val="26"/>
                <w:lang w:val="fr-FR"/>
              </w:rPr>
            </w:pPr>
          </w:p>
          <w:p w:rsidR="00F43706" w:rsidRPr="002C572F" w:rsidRDefault="00F43706" w:rsidP="003B359F">
            <w:pPr>
              <w:tabs>
                <w:tab w:val="left" w:pos="6660"/>
              </w:tabs>
              <w:spacing w:before="40" w:after="40"/>
              <w:jc w:val="center"/>
              <w:rPr>
                <w:noProof/>
              </w:rPr>
            </w:pPr>
          </w:p>
          <w:p w:rsidR="00AC242F" w:rsidRPr="002C572F" w:rsidRDefault="00D52B69" w:rsidP="003B359F">
            <w:pPr>
              <w:tabs>
                <w:tab w:val="left" w:pos="6660"/>
              </w:tabs>
              <w:spacing w:before="40" w:after="40"/>
              <w:jc w:val="center"/>
              <w:rPr>
                <w:noProof/>
              </w:rPr>
            </w:pPr>
            <w:r w:rsidRPr="002C572F">
              <w:rPr>
                <w:noProof/>
              </w:rPr>
              <w:t>(đã ký)</w:t>
            </w:r>
          </w:p>
          <w:p w:rsidR="00311030" w:rsidRPr="002C572F" w:rsidRDefault="00311030" w:rsidP="003B359F">
            <w:pPr>
              <w:tabs>
                <w:tab w:val="left" w:pos="6660"/>
              </w:tabs>
              <w:spacing w:before="40" w:after="40"/>
              <w:jc w:val="center"/>
              <w:rPr>
                <w:noProof/>
              </w:rPr>
            </w:pPr>
          </w:p>
          <w:p w:rsidR="00F43706" w:rsidRPr="002C572F" w:rsidRDefault="00F43706" w:rsidP="003B359F">
            <w:pPr>
              <w:tabs>
                <w:tab w:val="left" w:pos="6660"/>
              </w:tabs>
              <w:spacing w:before="40" w:after="40"/>
              <w:jc w:val="center"/>
              <w:rPr>
                <w:rFonts w:eastAsia="Times New Roman"/>
                <w:b/>
                <w:sz w:val="20"/>
                <w:szCs w:val="26"/>
                <w:lang w:val="fr-FR"/>
              </w:rPr>
            </w:pPr>
          </w:p>
          <w:p w:rsidR="00557E8B" w:rsidRPr="002C572F" w:rsidRDefault="00557E8B" w:rsidP="003B359F">
            <w:pPr>
              <w:tabs>
                <w:tab w:val="left" w:pos="6660"/>
              </w:tabs>
              <w:spacing w:before="40" w:after="40"/>
              <w:jc w:val="center"/>
              <w:rPr>
                <w:rFonts w:eastAsia="Times New Roman"/>
                <w:b/>
                <w:sz w:val="10"/>
                <w:szCs w:val="26"/>
                <w:lang w:val="fr-FR"/>
              </w:rPr>
            </w:pPr>
          </w:p>
          <w:p w:rsidR="00AC242F" w:rsidRPr="002C572F" w:rsidRDefault="00A71554" w:rsidP="003B359F">
            <w:pPr>
              <w:tabs>
                <w:tab w:val="left" w:pos="6660"/>
              </w:tabs>
              <w:spacing w:before="40" w:after="40"/>
              <w:jc w:val="center"/>
              <w:rPr>
                <w:rFonts w:eastAsia="Times New Roman"/>
                <w:b/>
                <w:sz w:val="28"/>
                <w:szCs w:val="26"/>
                <w:lang w:val="fr-FR"/>
              </w:rPr>
            </w:pPr>
            <w:r w:rsidRPr="002C572F">
              <w:rPr>
                <w:rFonts w:eastAsia="Times New Roman"/>
                <w:b/>
                <w:sz w:val="28"/>
                <w:szCs w:val="26"/>
                <w:lang w:val="fr-FR"/>
              </w:rPr>
              <w:t>Lê Quang Mạnh</w:t>
            </w:r>
          </w:p>
        </w:tc>
      </w:tr>
    </w:tbl>
    <w:p w:rsidR="00C05C94" w:rsidRPr="002C572F" w:rsidRDefault="00C05C94" w:rsidP="001E49A6">
      <w:pPr>
        <w:spacing w:before="40" w:after="40" w:line="360" w:lineRule="exact"/>
      </w:pPr>
      <w:bookmarkStart w:id="1" w:name="_GoBack"/>
      <w:bookmarkEnd w:id="1"/>
    </w:p>
    <w:sectPr w:rsidR="00C05C94" w:rsidRPr="002C572F" w:rsidSect="00192B22">
      <w:headerReference w:type="default" r:id="rId7"/>
      <w:pgSz w:w="11907" w:h="16839" w:code="9"/>
      <w:pgMar w:top="1135"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B8A" w:rsidRDefault="00AB3B8A" w:rsidP="00135F68">
      <w:r>
        <w:separator/>
      </w:r>
    </w:p>
  </w:endnote>
  <w:endnote w:type="continuationSeparator" w:id="0">
    <w:p w:rsidR="00AB3B8A" w:rsidRDefault="00AB3B8A" w:rsidP="001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B8A" w:rsidRDefault="00AB3B8A" w:rsidP="00135F68">
      <w:r>
        <w:separator/>
      </w:r>
    </w:p>
  </w:footnote>
  <w:footnote w:type="continuationSeparator" w:id="0">
    <w:p w:rsidR="00AB3B8A" w:rsidRDefault="00AB3B8A" w:rsidP="00135F68">
      <w:r>
        <w:continuationSeparator/>
      </w:r>
    </w:p>
  </w:footnote>
  <w:footnote w:id="1">
    <w:p w:rsidR="00A34506" w:rsidRPr="00A34506" w:rsidRDefault="00A34506" w:rsidP="00A34506">
      <w:pPr>
        <w:pStyle w:val="FootnoteText"/>
        <w:jc w:val="both"/>
        <w:rPr>
          <w:rFonts w:ascii="Times New Roman" w:hAnsi="Times New Roman"/>
          <w:lang w:val="en-US"/>
        </w:rPr>
      </w:pPr>
      <w:r>
        <w:rPr>
          <w:rStyle w:val="FootnoteReference"/>
        </w:rPr>
        <w:footnoteRef/>
      </w:r>
      <w:r>
        <w:t xml:space="preserve"> </w:t>
      </w:r>
      <w:r w:rsidRPr="00A34506">
        <w:rPr>
          <w:rFonts w:ascii="Times New Roman" w:hAnsi="Times New Roman"/>
          <w:lang w:val="en-US"/>
        </w:rPr>
        <w:t xml:space="preserve">Bao gồm: </w:t>
      </w:r>
      <w:r w:rsidRPr="00A34506">
        <w:rPr>
          <w:rFonts w:ascii="Times New Roman" w:hAnsi="Times New Roman"/>
          <w:b/>
          <w:i/>
          <w:noProof/>
          <w:color w:val="000000"/>
          <w:lang w:val="es-ES"/>
        </w:rPr>
        <w:t>(i)</w:t>
      </w:r>
      <w:r w:rsidRPr="00A34506">
        <w:rPr>
          <w:rFonts w:ascii="Times New Roman" w:hAnsi="Times New Roman"/>
          <w:noProof/>
          <w:color w:val="000000"/>
          <w:lang w:val="es-ES"/>
        </w:rPr>
        <w:t xml:space="preserve"> </w:t>
      </w:r>
      <w:r w:rsidRPr="00A34506">
        <w:rPr>
          <w:rFonts w:ascii="Times New Roman" w:hAnsi="Times New Roman"/>
          <w:b/>
          <w:i/>
          <w:noProof/>
          <w:color w:val="000000"/>
          <w:lang w:val="es-ES"/>
        </w:rPr>
        <w:t>2.862,423</w:t>
      </w:r>
      <w:r w:rsidRPr="00A34506">
        <w:rPr>
          <w:rFonts w:ascii="Times New Roman" w:hAnsi="Times New Roman"/>
          <w:noProof/>
          <w:color w:val="000000"/>
          <w:lang w:val="es-ES"/>
        </w:rPr>
        <w:t xml:space="preserve"> </w:t>
      </w:r>
      <w:r w:rsidRPr="00A34506">
        <w:rPr>
          <w:rFonts w:ascii="Times New Roman" w:hAnsi="Times New Roman"/>
          <w:b/>
          <w:i/>
          <w:noProof/>
          <w:color w:val="000000"/>
          <w:lang w:val="es-ES"/>
        </w:rPr>
        <w:t>tỷ đồng</w:t>
      </w:r>
      <w:r w:rsidRPr="00A34506">
        <w:rPr>
          <w:rFonts w:ascii="Times New Roman" w:hAnsi="Times New Roman"/>
          <w:noProof/>
          <w:color w:val="000000"/>
          <w:lang w:val="es-ES"/>
        </w:rPr>
        <w:t xml:space="preserve"> vốn kế hoạch đầu tư công năm 2024 chưa phân bổ của các bộ, cơ quan trung ương và địa phương và </w:t>
      </w:r>
      <w:r w:rsidRPr="00A34506">
        <w:rPr>
          <w:rFonts w:ascii="Times New Roman" w:hAnsi="Times New Roman"/>
          <w:b/>
          <w:i/>
          <w:noProof/>
          <w:color w:val="000000"/>
          <w:lang w:val="es-ES"/>
        </w:rPr>
        <w:t>(ii)</w:t>
      </w:r>
      <w:r w:rsidRPr="00A34506">
        <w:rPr>
          <w:rFonts w:ascii="Times New Roman" w:hAnsi="Times New Roman"/>
          <w:noProof/>
          <w:color w:val="000000"/>
          <w:lang w:val="es-ES"/>
        </w:rPr>
        <w:t xml:space="preserve"> </w:t>
      </w:r>
      <w:r w:rsidRPr="00A34506">
        <w:rPr>
          <w:rFonts w:ascii="Times New Roman" w:hAnsi="Times New Roman"/>
          <w:b/>
          <w:i/>
          <w:noProof/>
          <w:color w:val="000000"/>
          <w:lang w:val="es-ES"/>
        </w:rPr>
        <w:t xml:space="preserve">4.451,130 tỷ đồng </w:t>
      </w:r>
      <w:r w:rsidRPr="00A34506">
        <w:rPr>
          <w:rFonts w:ascii="Times New Roman" w:hAnsi="Times New Roman"/>
          <w:noProof/>
          <w:color w:val="000000"/>
          <w:lang w:val="es-ES"/>
        </w:rPr>
        <w:t>vốn kế hoạch đầu tư công năm 2024 đã được phân bổ nhưng các bộ, cơ quan, địa phương không có nhu cầu sử dụng trong năm 2024 và đề xuất “</w:t>
      </w:r>
      <w:r w:rsidRPr="00A34506">
        <w:rPr>
          <w:rFonts w:ascii="Times New Roman" w:hAnsi="Times New Roman"/>
          <w:i/>
          <w:noProof/>
          <w:color w:val="000000"/>
          <w:lang w:val="es-ES"/>
        </w:rPr>
        <w:t>trả lại vốn</w:t>
      </w:r>
      <w:r w:rsidRPr="00A34506">
        <w:rPr>
          <w:rFonts w:ascii="Times New Roman" w:hAnsi="Times New Roman"/>
          <w:noProof/>
          <w:color w:val="000000"/>
          <w:lang w:val="es-ES"/>
        </w:rPr>
        <w:t>”</w:t>
      </w:r>
      <w:r>
        <w:rPr>
          <w:rFonts w:ascii="Times New Roman" w:hAnsi="Times New Roman"/>
          <w:noProof/>
          <w:color w:val="000000"/>
          <w:lang w:val="es-ES"/>
        </w:rPr>
        <w:t>.</w:t>
      </w:r>
    </w:p>
  </w:footnote>
  <w:footnote w:id="2">
    <w:p w:rsidR="00152C64" w:rsidRPr="00810CB1" w:rsidRDefault="00152C64" w:rsidP="00810CB1">
      <w:pPr>
        <w:pStyle w:val="FootnoteText"/>
        <w:jc w:val="both"/>
        <w:rPr>
          <w:rFonts w:ascii="Times New Roman" w:hAnsi="Times New Roman"/>
          <w:lang w:val="en-US"/>
        </w:rPr>
      </w:pPr>
      <w:r>
        <w:rPr>
          <w:rStyle w:val="FootnoteReference"/>
        </w:rPr>
        <w:footnoteRef/>
      </w:r>
      <w:r>
        <w:t xml:space="preserve"> </w:t>
      </w:r>
      <w:r>
        <w:rPr>
          <w:lang w:val="en-US"/>
        </w:rPr>
        <w:t>“</w:t>
      </w:r>
      <w:r w:rsidRPr="00810CB1">
        <w:rPr>
          <w:rFonts w:ascii="Times New Roman" w:hAnsi="Times New Roman"/>
          <w:lang w:val="vi-VN"/>
        </w:rPr>
        <w:t>2. Ủy ban Thường vụ Quốc hội quyết định điều chỉnh kế hoạch đầu tư công trung hạn và hằng năm vốn ngân sách trung ương giữa các Bộ, cơ quan trung ương và địa phương trong trường hợp không thay đổi tổng mức vốn trung hạn và hằng năm đã được Quốc hội quyết định.</w:t>
      </w:r>
      <w:r w:rsidRPr="00810CB1">
        <w:rPr>
          <w:rFonts w:ascii="Times New Roman" w:hAnsi="Times New Roman"/>
          <w:lang w:val="en-US"/>
        </w:rPr>
        <w:t>”.</w:t>
      </w:r>
    </w:p>
  </w:footnote>
  <w:footnote w:id="3">
    <w:p w:rsidR="00152C64" w:rsidRPr="00810CB1" w:rsidRDefault="00152C64" w:rsidP="00810CB1">
      <w:pPr>
        <w:widowControl w:val="0"/>
        <w:tabs>
          <w:tab w:val="left" w:pos="7839"/>
        </w:tabs>
        <w:jc w:val="both"/>
        <w:rPr>
          <w:color w:val="000000"/>
          <w:sz w:val="22"/>
          <w:szCs w:val="22"/>
        </w:rPr>
      </w:pPr>
      <w:r w:rsidRPr="00810CB1">
        <w:rPr>
          <w:rStyle w:val="FootnoteReference"/>
          <w:sz w:val="22"/>
          <w:szCs w:val="22"/>
        </w:rPr>
        <w:footnoteRef/>
      </w:r>
      <w:r w:rsidRPr="00810CB1">
        <w:rPr>
          <w:sz w:val="22"/>
          <w:szCs w:val="22"/>
        </w:rPr>
        <w:t xml:space="preserve"> “</w:t>
      </w:r>
      <w:r w:rsidRPr="00810CB1">
        <w:rPr>
          <w:color w:val="000000"/>
          <w:sz w:val="22"/>
          <w:szCs w:val="22"/>
        </w:rPr>
        <w:t>2. Chính phủ trình Uỷ ban thường vụ Quốc hội quyết định điều chỉnh nhiệm vụ thu, chi của một số bộ, cơ quan ngang bộ, cơ quan thuộc Chính phủ, cơ quan khác ở trung ương và một số tỉnh, thành phố trực thuộc trung ương và báo cáo Quốc hội tại kỳ họp gần nhất trong các trường hợp sau:</w:t>
      </w:r>
      <w:r w:rsidRPr="00810CB1">
        <w:rPr>
          <w:color w:val="000000"/>
          <w:sz w:val="22"/>
          <w:szCs w:val="22"/>
        </w:rPr>
        <w:tab/>
      </w:r>
    </w:p>
    <w:p w:rsidR="00152C64" w:rsidRPr="00810CB1" w:rsidRDefault="00152C64" w:rsidP="00810CB1">
      <w:pPr>
        <w:widowControl w:val="0"/>
        <w:tabs>
          <w:tab w:val="left" w:pos="7839"/>
        </w:tabs>
        <w:ind w:firstLine="680"/>
        <w:jc w:val="both"/>
        <w:rPr>
          <w:color w:val="000000"/>
          <w:spacing w:val="-4"/>
          <w:sz w:val="22"/>
          <w:szCs w:val="22"/>
        </w:rPr>
      </w:pPr>
      <w:r w:rsidRPr="00810CB1">
        <w:rPr>
          <w:color w:val="000000"/>
          <w:spacing w:val="-4"/>
          <w:sz w:val="22"/>
          <w:szCs w:val="22"/>
        </w:rPr>
        <w:t>a) Dự kiến số thu không đạt dự toán được Quốc hội quyết định phải điều chỉnh giảm một số khoản chi;</w:t>
      </w:r>
    </w:p>
    <w:p w:rsidR="00152C64" w:rsidRPr="00810CB1" w:rsidRDefault="00152C64" w:rsidP="00810CB1">
      <w:pPr>
        <w:pStyle w:val="FootnoteText"/>
        <w:ind w:firstLine="680"/>
        <w:jc w:val="both"/>
        <w:rPr>
          <w:rFonts w:ascii="Times New Roman" w:hAnsi="Times New Roman"/>
          <w:lang w:val="en-US"/>
        </w:rPr>
      </w:pPr>
      <w:r w:rsidRPr="00810CB1">
        <w:rPr>
          <w:rFonts w:ascii="Times New Roman" w:hAnsi="Times New Roman"/>
          <w:color w:val="000000"/>
        </w:rPr>
        <w:t>b) Có yêu cầu cấp bách về quốc phòng, an ninh hoặc vì lý do khách quan cần phải điều chỉnh.</w:t>
      </w:r>
    </w:p>
  </w:footnote>
  <w:footnote w:id="4">
    <w:p w:rsidR="00810CB1" w:rsidRPr="00810CB1" w:rsidRDefault="00810CB1" w:rsidP="00810CB1">
      <w:pPr>
        <w:pStyle w:val="FootnoteText"/>
        <w:jc w:val="both"/>
        <w:rPr>
          <w:rFonts w:ascii="Times New Roman" w:hAnsi="Times New Roman"/>
          <w:lang w:val="en-US"/>
        </w:rPr>
      </w:pPr>
      <w:r w:rsidRPr="00810CB1">
        <w:rPr>
          <w:rStyle w:val="FootnoteReference"/>
          <w:rFonts w:ascii="Times New Roman" w:hAnsi="Times New Roman"/>
        </w:rPr>
        <w:footnoteRef/>
      </w:r>
      <w:r w:rsidRPr="00810CB1">
        <w:rPr>
          <w:rFonts w:ascii="Times New Roman" w:hAnsi="Times New Roman"/>
        </w:rPr>
        <w:t xml:space="preserve"> </w:t>
      </w:r>
      <w:r w:rsidRPr="00810CB1">
        <w:rPr>
          <w:rFonts w:ascii="Times New Roman" w:hAnsi="Times New Roman"/>
          <w:lang w:val="en-US"/>
        </w:rPr>
        <w:t>Chi tiết tại phụ lục số 01 (mục ghi chú) kèm theo Tờ trình số 579/TTr-CP của Chính phủ, gồm: Bộ Ngoại giao đề xuất cắt giảm 148,130 tỷ đồng; Đại học Quốc gia TP Hồ Chí Minh đề nghị giảm 273 tỷ đồng; Thành phố Hà Nội đề nghị trả lại 4.030 tỷ đồ</w:t>
      </w:r>
      <w:r w:rsidR="00A34506">
        <w:rPr>
          <w:rFonts w:ascii="Times New Roman" w:hAnsi="Times New Roman"/>
          <w:lang w:val="en-US"/>
        </w:rPr>
        <w:t>ng (</w:t>
      </w:r>
      <w:r w:rsidR="00A34506" w:rsidRPr="00A34506">
        <w:rPr>
          <w:rFonts w:ascii="Times New Roman" w:hAnsi="Times New Roman"/>
          <w:i/>
          <w:lang w:val="en-US"/>
        </w:rPr>
        <w:t>là số vốn bố trí cho Dự án thành phần 3: Đầu tư xây dựng đường cao tốc theo phương thức PPP thuộc dự án đầu tư xây dựng đườ</w:t>
      </w:r>
      <w:r w:rsidR="00B02261">
        <w:rPr>
          <w:rFonts w:ascii="Times New Roman" w:hAnsi="Times New Roman"/>
          <w:i/>
          <w:lang w:val="en-US"/>
        </w:rPr>
        <w:t>ng Vành</w:t>
      </w:r>
      <w:r w:rsidR="00A34506" w:rsidRPr="00A34506">
        <w:rPr>
          <w:rFonts w:ascii="Times New Roman" w:hAnsi="Times New Roman"/>
          <w:i/>
          <w:lang w:val="en-US"/>
        </w:rPr>
        <w:t xml:space="preserve"> đai 4 – Vùng Thủ đô</w:t>
      </w:r>
      <w:r w:rsidR="00A34506">
        <w:rPr>
          <w:rFonts w:ascii="Times New Roman" w:hAnsi="Times New Roman"/>
          <w:lang w:val="en-US"/>
        </w:rPr>
        <w:t>).</w:t>
      </w:r>
    </w:p>
  </w:footnote>
  <w:footnote w:id="5">
    <w:p w:rsidR="00043878" w:rsidRPr="00043878" w:rsidRDefault="00043878">
      <w:pPr>
        <w:pStyle w:val="FootnoteText"/>
        <w:rPr>
          <w:rFonts w:ascii="Times New Roman" w:hAnsi="Times New Roman"/>
          <w:lang w:val="en-US"/>
        </w:rPr>
      </w:pPr>
      <w:r w:rsidRPr="00043878">
        <w:rPr>
          <w:rStyle w:val="FootnoteReference"/>
          <w:rFonts w:ascii="Times New Roman" w:hAnsi="Times New Roman"/>
        </w:rPr>
        <w:footnoteRef/>
      </w:r>
      <w:r w:rsidRPr="00043878">
        <w:rPr>
          <w:rFonts w:ascii="Times New Roman" w:hAnsi="Times New Roman"/>
        </w:rPr>
        <w:t xml:space="preserve"> </w:t>
      </w:r>
      <w:r w:rsidRPr="00043878">
        <w:rPr>
          <w:rFonts w:ascii="Times New Roman" w:hAnsi="Times New Roman"/>
          <w:lang w:val="en-US"/>
        </w:rPr>
        <w:t>Như các dự án sử dụng vốn ODA của các tỉnh: Nghệ An, Hà Tĩnh, Quảng trị</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126910"/>
      <w:docPartObj>
        <w:docPartGallery w:val="Page Numbers (Top of Page)"/>
        <w:docPartUnique/>
      </w:docPartObj>
    </w:sdtPr>
    <w:sdtEndPr>
      <w:rPr>
        <w:noProof/>
      </w:rPr>
    </w:sdtEndPr>
    <w:sdtContent>
      <w:p w:rsidR="008608AE" w:rsidRDefault="008608AE">
        <w:pPr>
          <w:pStyle w:val="Header"/>
          <w:jc w:val="center"/>
        </w:pPr>
        <w:r>
          <w:fldChar w:fldCharType="begin"/>
        </w:r>
        <w:r>
          <w:instrText xml:space="preserve"> PAGE   \* MERGEFORMAT </w:instrText>
        </w:r>
        <w:r>
          <w:fldChar w:fldCharType="separate"/>
        </w:r>
        <w:r w:rsidR="00D52B69">
          <w:rPr>
            <w:noProof/>
          </w:rPr>
          <w:t>4</w:t>
        </w:r>
        <w:r>
          <w:rPr>
            <w:noProof/>
          </w:rPr>
          <w:fldChar w:fldCharType="end"/>
        </w:r>
      </w:p>
    </w:sdtContent>
  </w:sdt>
  <w:p w:rsidR="008608AE" w:rsidRDefault="00860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68"/>
    <w:rsid w:val="00043878"/>
    <w:rsid w:val="00065DA2"/>
    <w:rsid w:val="00103E1F"/>
    <w:rsid w:val="00135F68"/>
    <w:rsid w:val="00152C64"/>
    <w:rsid w:val="00160A78"/>
    <w:rsid w:val="00192B22"/>
    <w:rsid w:val="001E49A6"/>
    <w:rsid w:val="00252AB7"/>
    <w:rsid w:val="00254D86"/>
    <w:rsid w:val="002C572F"/>
    <w:rsid w:val="00311030"/>
    <w:rsid w:val="003966FB"/>
    <w:rsid w:val="003B359F"/>
    <w:rsid w:val="003B3B74"/>
    <w:rsid w:val="003C2308"/>
    <w:rsid w:val="004256B9"/>
    <w:rsid w:val="00437D69"/>
    <w:rsid w:val="00471E32"/>
    <w:rsid w:val="004F39EF"/>
    <w:rsid w:val="00557E8B"/>
    <w:rsid w:val="005D4651"/>
    <w:rsid w:val="005E6267"/>
    <w:rsid w:val="00620DFA"/>
    <w:rsid w:val="00621C70"/>
    <w:rsid w:val="0063680B"/>
    <w:rsid w:val="006A2A5E"/>
    <w:rsid w:val="006D5121"/>
    <w:rsid w:val="007522E5"/>
    <w:rsid w:val="00764794"/>
    <w:rsid w:val="00810CB1"/>
    <w:rsid w:val="008608AE"/>
    <w:rsid w:val="0087467B"/>
    <w:rsid w:val="008822C6"/>
    <w:rsid w:val="00892DD8"/>
    <w:rsid w:val="009455F5"/>
    <w:rsid w:val="009D159A"/>
    <w:rsid w:val="009E0495"/>
    <w:rsid w:val="00A34506"/>
    <w:rsid w:val="00A71554"/>
    <w:rsid w:val="00AB3B8A"/>
    <w:rsid w:val="00AC242F"/>
    <w:rsid w:val="00AF6C5C"/>
    <w:rsid w:val="00B02261"/>
    <w:rsid w:val="00B53D4C"/>
    <w:rsid w:val="00B750CD"/>
    <w:rsid w:val="00BD0BE0"/>
    <w:rsid w:val="00BE348D"/>
    <w:rsid w:val="00BF6849"/>
    <w:rsid w:val="00C05C94"/>
    <w:rsid w:val="00D52B69"/>
    <w:rsid w:val="00E00AB9"/>
    <w:rsid w:val="00E36F52"/>
    <w:rsid w:val="00E46C91"/>
    <w:rsid w:val="00E668BF"/>
    <w:rsid w:val="00EF0EA5"/>
    <w:rsid w:val="00EF648B"/>
    <w:rsid w:val="00F43706"/>
    <w:rsid w:val="00F8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88164-3497-43D6-B17E-349ABD0B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6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locked/>
    <w:rsid w:val="00135F68"/>
    <w:rPr>
      <w:rFonts w:cs="Times New Roman"/>
      <w:lang w:val="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a,ft,A"/>
    <w:basedOn w:val="Normal"/>
    <w:link w:val="FootnoteTextChar"/>
    <w:uiPriority w:val="99"/>
    <w:qFormat/>
    <w:rsid w:val="00135F68"/>
    <w:rPr>
      <w:rFonts w:asciiTheme="minorHAnsi" w:eastAsiaTheme="minorHAnsi" w:hAnsiTheme="minorHAnsi"/>
      <w:sz w:val="22"/>
      <w:szCs w:val="22"/>
      <w:lang w:val="x-none"/>
    </w:rPr>
  </w:style>
  <w:style w:type="character" w:customStyle="1" w:styleId="FootnoteTextChar1">
    <w:name w:val="Footnote Text Char1"/>
    <w:basedOn w:val="DefaultParagraphFont"/>
    <w:uiPriority w:val="99"/>
    <w:semiHidden/>
    <w:rsid w:val="00135F68"/>
    <w:rPr>
      <w:rFonts w:ascii="Times New Roman" w:eastAsia="SimSun" w:hAnsi="Times New Roman" w:cs="Times New Roman"/>
      <w:sz w:val="20"/>
      <w:szCs w:val="20"/>
    </w:rPr>
  </w:style>
  <w:style w:type="character" w:customStyle="1" w:styleId="BodyTextChar">
    <w:name w:val="Body Text Char"/>
    <w:link w:val="BodyText"/>
    <w:locked/>
    <w:rsid w:val="00135F68"/>
    <w:rPr>
      <w:rFonts w:cs="Times New Roman"/>
      <w:sz w:val="24"/>
      <w:szCs w:val="24"/>
      <w:lang w:val="x-none"/>
    </w:rPr>
  </w:style>
  <w:style w:type="paragraph" w:styleId="BodyText">
    <w:name w:val="Body Text"/>
    <w:basedOn w:val="Normal"/>
    <w:link w:val="BodyTextChar"/>
    <w:rsid w:val="00135F68"/>
    <w:pPr>
      <w:spacing w:after="120"/>
    </w:pPr>
    <w:rPr>
      <w:rFonts w:asciiTheme="minorHAnsi" w:eastAsiaTheme="minorHAnsi" w:hAnsiTheme="minorHAnsi"/>
      <w:lang w:val="x-none"/>
    </w:rPr>
  </w:style>
  <w:style w:type="character" w:customStyle="1" w:styleId="BodyTextChar1">
    <w:name w:val="Body Text Char1"/>
    <w:basedOn w:val="DefaultParagraphFont"/>
    <w:uiPriority w:val="99"/>
    <w:semiHidden/>
    <w:rsid w:val="00135F68"/>
    <w:rPr>
      <w:rFonts w:ascii="Times New Roman" w:eastAsia="SimSun" w:hAnsi="Times New Roman" w:cs="Times New Roman"/>
      <w:sz w:val="24"/>
      <w:szCs w:val="24"/>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135F68"/>
    <w:rPr>
      <w:rFonts w:cs="Times New Roman"/>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35F68"/>
    <w:pPr>
      <w:spacing w:after="160" w:line="240" w:lineRule="exact"/>
    </w:pPr>
    <w:rPr>
      <w:rFonts w:asciiTheme="minorHAnsi" w:eastAsiaTheme="minorHAnsi" w:hAnsiTheme="minorHAnsi"/>
      <w:sz w:val="22"/>
      <w:szCs w:val="22"/>
      <w:vertAlign w:val="superscript"/>
    </w:rPr>
  </w:style>
  <w:style w:type="paragraph" w:styleId="Header">
    <w:name w:val="header"/>
    <w:basedOn w:val="Normal"/>
    <w:link w:val="HeaderChar"/>
    <w:uiPriority w:val="99"/>
    <w:unhideWhenUsed/>
    <w:rsid w:val="008608AE"/>
    <w:pPr>
      <w:tabs>
        <w:tab w:val="center" w:pos="4680"/>
        <w:tab w:val="right" w:pos="9360"/>
      </w:tabs>
    </w:pPr>
  </w:style>
  <w:style w:type="character" w:customStyle="1" w:styleId="HeaderChar">
    <w:name w:val="Header Char"/>
    <w:basedOn w:val="DefaultParagraphFont"/>
    <w:link w:val="Header"/>
    <w:uiPriority w:val="99"/>
    <w:rsid w:val="008608AE"/>
    <w:rPr>
      <w:rFonts w:ascii="Times New Roman" w:eastAsia="SimSun" w:hAnsi="Times New Roman" w:cs="Times New Roman"/>
      <w:sz w:val="24"/>
      <w:szCs w:val="24"/>
    </w:rPr>
  </w:style>
  <w:style w:type="paragraph" w:styleId="Footer">
    <w:name w:val="footer"/>
    <w:basedOn w:val="Normal"/>
    <w:link w:val="FooterChar"/>
    <w:uiPriority w:val="99"/>
    <w:unhideWhenUsed/>
    <w:rsid w:val="008608AE"/>
    <w:pPr>
      <w:tabs>
        <w:tab w:val="center" w:pos="4680"/>
        <w:tab w:val="right" w:pos="9360"/>
      </w:tabs>
    </w:pPr>
  </w:style>
  <w:style w:type="character" w:customStyle="1" w:styleId="FooterChar">
    <w:name w:val="Footer Char"/>
    <w:basedOn w:val="DefaultParagraphFont"/>
    <w:link w:val="Footer"/>
    <w:uiPriority w:val="99"/>
    <w:rsid w:val="008608AE"/>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557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8B"/>
    <w:rPr>
      <w:rFonts w:ascii="Segoe UI" w:eastAsia="SimSun" w:hAnsi="Segoe UI" w:cs="Segoe UI"/>
      <w:sz w:val="18"/>
      <w:szCs w:val="18"/>
    </w:rPr>
  </w:style>
  <w:style w:type="paragraph" w:customStyle="1" w:styleId="CharCharCharCharCharCharChar">
    <w:name w:val="Char Char Char Char Char Char Char"/>
    <w:basedOn w:val="Normal"/>
    <w:rsid w:val="00EF0EA5"/>
    <w:pPr>
      <w:spacing w:after="160" w:line="240" w:lineRule="exact"/>
    </w:pPr>
    <w:rPr>
      <w:rFonts w:ascii="Verdana" w:eastAsia="Times New Roman" w:hAnsi="Verdana"/>
      <w:sz w:val="20"/>
      <w:szCs w:val="20"/>
    </w:rPr>
  </w:style>
  <w:style w:type="paragraph" w:customStyle="1" w:styleId="Normal0">
    <w:name w:val="[Normal]"/>
    <w:rsid w:val="00F43706"/>
    <w:pPr>
      <w:spacing w:after="0" w:line="240" w:lineRule="auto"/>
    </w:pPr>
    <w:rPr>
      <w:rFonts w:ascii="Arial" w:eastAsia="Arial" w:hAnsi="Arial" w:cs="Times New Roman"/>
      <w:sz w:val="24"/>
      <w:szCs w:val="20"/>
    </w:rPr>
  </w:style>
  <w:style w:type="paragraph" w:customStyle="1" w:styleId="CharCharCharCharCharCharChar0">
    <w:name w:val="Char Char Char Char Char Char Char"/>
    <w:basedOn w:val="Normal"/>
    <w:rsid w:val="00F43706"/>
    <w:pPr>
      <w:spacing w:after="160" w:line="240" w:lineRule="exact"/>
    </w:pPr>
    <w:rPr>
      <w:rFonts w:ascii="Verdana" w:eastAsia="Times New Roman" w:hAnsi="Verdana"/>
      <w:sz w:val="20"/>
      <w:szCs w:val="20"/>
    </w:rPr>
  </w:style>
  <w:style w:type="paragraph" w:customStyle="1" w:styleId="CharCharCharCharCharCharChar1">
    <w:name w:val="Char Char Char Char Char Char Char"/>
    <w:basedOn w:val="Normal"/>
    <w:rsid w:val="00152C64"/>
    <w:pPr>
      <w:spacing w:after="160" w:line="240" w:lineRule="exact"/>
    </w:pPr>
    <w:rPr>
      <w:rFonts w:ascii="Verdana" w:eastAsia="Times New Roman" w:hAnsi="Verdana"/>
      <w:sz w:val="20"/>
      <w:szCs w:val="20"/>
    </w:rPr>
  </w:style>
  <w:style w:type="character" w:styleId="PageNumber">
    <w:name w:val="page number"/>
    <w:basedOn w:val="DefaultParagraphFont"/>
    <w:rsid w:val="00152C64"/>
  </w:style>
  <w:style w:type="paragraph" w:styleId="ListParagraph">
    <w:name w:val="List Paragraph"/>
    <w:basedOn w:val="Normal"/>
    <w:uiPriority w:val="34"/>
    <w:qFormat/>
    <w:rsid w:val="00043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7EDA8-6870-4667-9B14-610D0E35D081}">
  <ds:schemaRefs>
    <ds:schemaRef ds:uri="http://schemas.openxmlformats.org/officeDocument/2006/bibliography"/>
  </ds:schemaRefs>
</ds:datastoreItem>
</file>

<file path=customXml/itemProps2.xml><?xml version="1.0" encoding="utf-8"?>
<ds:datastoreItem xmlns:ds="http://schemas.openxmlformats.org/officeDocument/2006/customXml" ds:itemID="{57767A4A-2204-4975-9F75-6813CD55E972}"/>
</file>

<file path=customXml/itemProps3.xml><?xml version="1.0" encoding="utf-8"?>
<ds:datastoreItem xmlns:ds="http://schemas.openxmlformats.org/officeDocument/2006/customXml" ds:itemID="{7D81A28E-D2D7-45B3-847C-E99F504F7910}"/>
</file>

<file path=customXml/itemProps4.xml><?xml version="1.0" encoding="utf-8"?>
<ds:datastoreItem xmlns:ds="http://schemas.openxmlformats.org/officeDocument/2006/customXml" ds:itemID="{BA6EAD8D-AF3C-41AE-8EA0-D83F153F6DED}"/>
</file>

<file path=docProps/app.xml><?xml version="1.0" encoding="utf-8"?>
<Properties xmlns="http://schemas.openxmlformats.org/officeDocument/2006/extended-properties" xmlns:vt="http://schemas.openxmlformats.org/officeDocument/2006/docPropsVTypes">
  <Template>Normal</Template>
  <TotalTime>20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Nhat Tan</dc:creator>
  <cp:keywords/>
  <dc:description/>
  <cp:lastModifiedBy>Nguyen Thuy Ha</cp:lastModifiedBy>
  <cp:revision>5</cp:revision>
  <cp:lastPrinted>2024-10-08T01:42:00Z</cp:lastPrinted>
  <dcterms:created xsi:type="dcterms:W3CDTF">2024-10-07T11:35:00Z</dcterms:created>
  <dcterms:modified xsi:type="dcterms:W3CDTF">2024-10-08T02:17:00Z</dcterms:modified>
</cp:coreProperties>
</file>